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7AF14F" w14:textId="77777777" w:rsidR="009753DF" w:rsidRPr="0095643D" w:rsidRDefault="009753DF" w:rsidP="009753DF">
      <w:pPr>
        <w:pStyle w:val="Heading1"/>
        <w:tabs>
          <w:tab w:val="clear" w:pos="850"/>
          <w:tab w:val="num" w:pos="0"/>
        </w:tabs>
        <w:ind w:left="0" w:firstLine="0"/>
        <w:rPr>
          <w:sz w:val="36"/>
          <w:szCs w:val="36"/>
          <w:lang w:eastAsia="en-AU"/>
        </w:rPr>
      </w:pPr>
      <w:r w:rsidRPr="0095643D">
        <w:rPr>
          <w:sz w:val="36"/>
          <w:szCs w:val="36"/>
          <w:lang w:eastAsia="en-AU"/>
        </w:rPr>
        <w:t>Appendix A: List of organisations written to by the Attorney General’s Department and Survey Questions</w:t>
      </w:r>
    </w:p>
    <w:p w14:paraId="707AF150" w14:textId="77777777" w:rsidR="009753DF" w:rsidRDefault="009753DF" w:rsidP="009753DF">
      <w:pPr>
        <w:shd w:val="clear" w:color="auto" w:fill="FFFFFF"/>
        <w:spacing w:before="100" w:beforeAutospacing="1" w:after="100" w:afterAutospacing="1" w:line="240" w:lineRule="auto"/>
        <w:rPr>
          <w:rFonts w:eastAsia="Times New Roman" w:cstheme="minorHAnsi"/>
          <w:color w:val="222222"/>
          <w:lang w:eastAsia="en-AU"/>
        </w:rPr>
      </w:pPr>
      <w:r>
        <w:rPr>
          <w:rFonts w:eastAsia="Times New Roman" w:cstheme="minorHAnsi"/>
          <w:color w:val="222222"/>
          <w:lang w:eastAsia="en-AU"/>
        </w:rPr>
        <w:t xml:space="preserve">The department wrote to the following 20 disability representative organisations to bring our review to their attention and to invite them to provide submissions: </w:t>
      </w:r>
    </w:p>
    <w:p w14:paraId="707AF151" w14:textId="77777777" w:rsidR="009753DF" w:rsidRPr="00AD2B43" w:rsidRDefault="009753DF" w:rsidP="009753DF">
      <w:pPr>
        <w:pStyle w:val="ListParagraph"/>
        <w:numPr>
          <w:ilvl w:val="0"/>
          <w:numId w:val="3"/>
        </w:numPr>
        <w:shd w:val="clear" w:color="auto" w:fill="FFFFFF"/>
        <w:spacing w:after="0" w:line="240" w:lineRule="auto"/>
        <w:rPr>
          <w:rFonts w:eastAsia="Times New Roman" w:cstheme="minorHAnsi"/>
          <w:color w:val="222222"/>
          <w:lang w:eastAsia="en-AU"/>
        </w:rPr>
      </w:pPr>
      <w:r w:rsidRPr="00AD2B43">
        <w:rPr>
          <w:rFonts w:eastAsia="Times New Roman" w:cstheme="minorHAnsi"/>
          <w:color w:val="222222"/>
          <w:lang w:eastAsia="en-AU"/>
        </w:rPr>
        <w:t>Australian Federation of Disability Organisations</w:t>
      </w:r>
    </w:p>
    <w:p w14:paraId="707AF152" w14:textId="77777777" w:rsidR="009753DF" w:rsidRPr="00AD2B43" w:rsidRDefault="009753DF" w:rsidP="009753DF">
      <w:pPr>
        <w:pStyle w:val="ListParagraph"/>
        <w:numPr>
          <w:ilvl w:val="0"/>
          <w:numId w:val="3"/>
        </w:numPr>
        <w:shd w:val="clear" w:color="auto" w:fill="FFFFFF"/>
        <w:spacing w:after="0" w:line="240" w:lineRule="auto"/>
        <w:rPr>
          <w:rFonts w:eastAsia="Times New Roman" w:cstheme="minorHAnsi"/>
          <w:color w:val="222222"/>
          <w:lang w:eastAsia="en-AU"/>
        </w:rPr>
      </w:pPr>
      <w:r w:rsidRPr="00AD2B43">
        <w:rPr>
          <w:rFonts w:eastAsia="Times New Roman" w:cstheme="minorHAnsi"/>
          <w:color w:val="222222"/>
          <w:lang w:eastAsia="en-AU"/>
        </w:rPr>
        <w:t xml:space="preserve">Autism </w:t>
      </w:r>
      <w:proofErr w:type="spellStart"/>
      <w:r w:rsidRPr="00AD2B43">
        <w:rPr>
          <w:rFonts w:eastAsia="Times New Roman" w:cstheme="minorHAnsi"/>
          <w:color w:val="222222"/>
          <w:lang w:eastAsia="en-AU"/>
        </w:rPr>
        <w:t>Aspergers</w:t>
      </w:r>
      <w:proofErr w:type="spellEnd"/>
      <w:r w:rsidRPr="00AD2B43">
        <w:rPr>
          <w:rFonts w:eastAsia="Times New Roman" w:cstheme="minorHAnsi"/>
          <w:color w:val="222222"/>
          <w:lang w:eastAsia="en-AU"/>
        </w:rPr>
        <w:t xml:space="preserve"> Advocacy Australia</w:t>
      </w:r>
    </w:p>
    <w:p w14:paraId="707AF153" w14:textId="77777777" w:rsidR="009753DF" w:rsidRPr="00AD2B43" w:rsidRDefault="009753DF" w:rsidP="009753DF">
      <w:pPr>
        <w:pStyle w:val="ListParagraph"/>
        <w:numPr>
          <w:ilvl w:val="0"/>
          <w:numId w:val="3"/>
        </w:numPr>
        <w:shd w:val="clear" w:color="auto" w:fill="FFFFFF"/>
        <w:spacing w:after="0" w:line="240" w:lineRule="auto"/>
        <w:rPr>
          <w:rFonts w:eastAsia="Times New Roman" w:cstheme="minorHAnsi"/>
          <w:color w:val="222222"/>
          <w:lang w:eastAsia="en-AU"/>
        </w:rPr>
      </w:pPr>
      <w:r w:rsidRPr="00AD2B43">
        <w:rPr>
          <w:rFonts w:eastAsia="Times New Roman" w:cstheme="minorHAnsi"/>
          <w:color w:val="222222"/>
          <w:lang w:eastAsia="en-AU"/>
        </w:rPr>
        <w:t>Blind Citizens Australia</w:t>
      </w:r>
    </w:p>
    <w:p w14:paraId="707AF154" w14:textId="77777777" w:rsidR="009753DF" w:rsidRPr="00AD2B43" w:rsidRDefault="009753DF" w:rsidP="009753DF">
      <w:pPr>
        <w:pStyle w:val="ListParagraph"/>
        <w:numPr>
          <w:ilvl w:val="0"/>
          <w:numId w:val="3"/>
        </w:numPr>
        <w:shd w:val="clear" w:color="auto" w:fill="FFFFFF"/>
        <w:spacing w:after="0" w:line="240" w:lineRule="auto"/>
        <w:rPr>
          <w:rFonts w:eastAsia="Times New Roman" w:cstheme="minorHAnsi"/>
          <w:color w:val="222222"/>
          <w:lang w:eastAsia="en-AU"/>
        </w:rPr>
      </w:pPr>
      <w:r w:rsidRPr="00AD2B43">
        <w:rPr>
          <w:rFonts w:eastAsia="Times New Roman" w:cstheme="minorHAnsi"/>
          <w:color w:val="222222"/>
          <w:lang w:eastAsia="en-AU"/>
        </w:rPr>
        <w:t>Brain Injury Australia</w:t>
      </w:r>
    </w:p>
    <w:p w14:paraId="707AF155" w14:textId="77777777" w:rsidR="009753DF" w:rsidRPr="00AD2B43" w:rsidRDefault="009753DF" w:rsidP="009753DF">
      <w:pPr>
        <w:pStyle w:val="ListParagraph"/>
        <w:numPr>
          <w:ilvl w:val="0"/>
          <w:numId w:val="3"/>
        </w:numPr>
        <w:shd w:val="clear" w:color="auto" w:fill="FFFFFF"/>
        <w:spacing w:after="0" w:line="240" w:lineRule="auto"/>
        <w:rPr>
          <w:rFonts w:eastAsia="Times New Roman" w:cstheme="minorHAnsi"/>
          <w:color w:val="222222"/>
          <w:lang w:eastAsia="en-AU"/>
        </w:rPr>
      </w:pPr>
      <w:r w:rsidRPr="00AD2B43">
        <w:rPr>
          <w:rFonts w:eastAsia="Times New Roman" w:cstheme="minorHAnsi"/>
          <w:color w:val="222222"/>
          <w:lang w:eastAsia="en-AU"/>
        </w:rPr>
        <w:t>Carers Australia</w:t>
      </w:r>
    </w:p>
    <w:p w14:paraId="707AF156" w14:textId="77777777" w:rsidR="009753DF" w:rsidRPr="00AD2B43" w:rsidRDefault="009753DF" w:rsidP="009753DF">
      <w:pPr>
        <w:pStyle w:val="ListParagraph"/>
        <w:numPr>
          <w:ilvl w:val="0"/>
          <w:numId w:val="3"/>
        </w:numPr>
        <w:shd w:val="clear" w:color="auto" w:fill="FFFFFF"/>
        <w:spacing w:after="0" w:line="240" w:lineRule="auto"/>
        <w:rPr>
          <w:rFonts w:eastAsia="Times New Roman" w:cstheme="minorHAnsi"/>
          <w:color w:val="222222"/>
          <w:lang w:eastAsia="en-AU"/>
        </w:rPr>
      </w:pPr>
      <w:r w:rsidRPr="00AD2B43">
        <w:rPr>
          <w:rFonts w:eastAsia="Times New Roman" w:cstheme="minorHAnsi"/>
          <w:color w:val="222222"/>
          <w:lang w:eastAsia="en-AU"/>
        </w:rPr>
        <w:t>Children and Young People with Disability Australia</w:t>
      </w:r>
    </w:p>
    <w:p w14:paraId="707AF157" w14:textId="77777777" w:rsidR="009753DF" w:rsidRPr="00AD2B43" w:rsidRDefault="009753DF" w:rsidP="009753DF">
      <w:pPr>
        <w:pStyle w:val="ListParagraph"/>
        <w:numPr>
          <w:ilvl w:val="0"/>
          <w:numId w:val="3"/>
        </w:numPr>
        <w:shd w:val="clear" w:color="auto" w:fill="FFFFFF"/>
        <w:spacing w:after="0" w:line="240" w:lineRule="auto"/>
        <w:rPr>
          <w:rFonts w:eastAsia="Times New Roman" w:cstheme="minorHAnsi"/>
          <w:color w:val="222222"/>
          <w:lang w:eastAsia="en-AU"/>
        </w:rPr>
      </w:pPr>
      <w:r w:rsidRPr="00AD2B43">
        <w:rPr>
          <w:rFonts w:eastAsia="Times New Roman" w:cstheme="minorHAnsi"/>
          <w:color w:val="222222"/>
          <w:lang w:eastAsia="en-AU"/>
        </w:rPr>
        <w:t>Deaf Australia</w:t>
      </w:r>
    </w:p>
    <w:p w14:paraId="707AF158" w14:textId="77777777" w:rsidR="009753DF" w:rsidRPr="00AD2B43" w:rsidRDefault="009753DF" w:rsidP="009753DF">
      <w:pPr>
        <w:pStyle w:val="ListParagraph"/>
        <w:numPr>
          <w:ilvl w:val="0"/>
          <w:numId w:val="3"/>
        </w:numPr>
        <w:shd w:val="clear" w:color="auto" w:fill="FFFFFF"/>
        <w:spacing w:after="0" w:line="240" w:lineRule="auto"/>
        <w:rPr>
          <w:rFonts w:eastAsia="Times New Roman" w:cstheme="minorHAnsi"/>
          <w:color w:val="222222"/>
          <w:lang w:eastAsia="en-AU"/>
        </w:rPr>
      </w:pPr>
      <w:r w:rsidRPr="00AD2B43">
        <w:rPr>
          <w:rFonts w:eastAsia="Times New Roman" w:cstheme="minorHAnsi"/>
          <w:color w:val="222222"/>
          <w:lang w:eastAsia="en-AU"/>
        </w:rPr>
        <w:t>Deafblind Australia</w:t>
      </w:r>
    </w:p>
    <w:p w14:paraId="707AF159" w14:textId="77777777" w:rsidR="009753DF" w:rsidRPr="00AD2B43" w:rsidRDefault="009753DF" w:rsidP="009753DF">
      <w:pPr>
        <w:pStyle w:val="ListParagraph"/>
        <w:numPr>
          <w:ilvl w:val="0"/>
          <w:numId w:val="3"/>
        </w:numPr>
        <w:shd w:val="clear" w:color="auto" w:fill="FFFFFF"/>
        <w:spacing w:after="0" w:line="240" w:lineRule="auto"/>
        <w:rPr>
          <w:rFonts w:eastAsia="Times New Roman" w:cstheme="minorHAnsi"/>
          <w:color w:val="222222"/>
          <w:lang w:eastAsia="en-AU"/>
        </w:rPr>
      </w:pPr>
      <w:r w:rsidRPr="00AD2B43">
        <w:rPr>
          <w:rFonts w:eastAsia="Times New Roman" w:cstheme="minorHAnsi"/>
          <w:color w:val="222222"/>
          <w:lang w:eastAsia="en-AU"/>
        </w:rPr>
        <w:t>Deafness Forum of Australia</w:t>
      </w:r>
    </w:p>
    <w:p w14:paraId="707AF15A" w14:textId="77777777" w:rsidR="009753DF" w:rsidRPr="00AD2B43" w:rsidRDefault="009753DF" w:rsidP="009753DF">
      <w:pPr>
        <w:pStyle w:val="ListParagraph"/>
        <w:numPr>
          <w:ilvl w:val="0"/>
          <w:numId w:val="3"/>
        </w:numPr>
        <w:shd w:val="clear" w:color="auto" w:fill="FFFFFF"/>
        <w:spacing w:after="0" w:line="240" w:lineRule="auto"/>
        <w:rPr>
          <w:rFonts w:eastAsia="Times New Roman" w:cstheme="minorHAnsi"/>
          <w:color w:val="222222"/>
          <w:lang w:eastAsia="en-AU"/>
        </w:rPr>
      </w:pPr>
      <w:r w:rsidRPr="00AD2B43">
        <w:rPr>
          <w:rFonts w:eastAsia="Times New Roman" w:cstheme="minorHAnsi"/>
          <w:color w:val="222222"/>
          <w:lang w:eastAsia="en-AU"/>
        </w:rPr>
        <w:t>Disability Advocacy Network Australia</w:t>
      </w:r>
    </w:p>
    <w:p w14:paraId="707AF15B" w14:textId="77777777" w:rsidR="009753DF" w:rsidRPr="00AD2B43" w:rsidRDefault="009753DF" w:rsidP="009753DF">
      <w:pPr>
        <w:pStyle w:val="ListParagraph"/>
        <w:numPr>
          <w:ilvl w:val="0"/>
          <w:numId w:val="3"/>
        </w:numPr>
        <w:shd w:val="clear" w:color="auto" w:fill="FFFFFF"/>
        <w:spacing w:after="0" w:line="240" w:lineRule="auto"/>
        <w:rPr>
          <w:rFonts w:eastAsia="Times New Roman" w:cstheme="minorHAnsi"/>
          <w:color w:val="222222"/>
          <w:lang w:eastAsia="en-AU"/>
        </w:rPr>
      </w:pPr>
      <w:r w:rsidRPr="00AD2B43">
        <w:rPr>
          <w:rFonts w:eastAsia="Times New Roman" w:cstheme="minorHAnsi"/>
          <w:color w:val="222222"/>
          <w:lang w:eastAsia="en-AU"/>
        </w:rPr>
        <w:t>Down Syndrome Australia</w:t>
      </w:r>
    </w:p>
    <w:p w14:paraId="707AF15C" w14:textId="77777777" w:rsidR="009753DF" w:rsidRPr="00AD2B43" w:rsidRDefault="009753DF" w:rsidP="009753DF">
      <w:pPr>
        <w:pStyle w:val="ListParagraph"/>
        <w:numPr>
          <w:ilvl w:val="0"/>
          <w:numId w:val="3"/>
        </w:numPr>
        <w:shd w:val="clear" w:color="auto" w:fill="FFFFFF"/>
        <w:spacing w:after="0" w:line="240" w:lineRule="auto"/>
        <w:rPr>
          <w:rFonts w:eastAsia="Times New Roman" w:cstheme="minorHAnsi"/>
          <w:color w:val="222222"/>
          <w:lang w:eastAsia="en-AU"/>
        </w:rPr>
      </w:pPr>
      <w:r w:rsidRPr="00AD2B43">
        <w:rPr>
          <w:rFonts w:eastAsia="Times New Roman" w:cstheme="minorHAnsi"/>
          <w:color w:val="222222"/>
          <w:lang w:eastAsia="en-AU"/>
        </w:rPr>
        <w:t>First Peoples Disability Network</w:t>
      </w:r>
    </w:p>
    <w:p w14:paraId="707AF15D" w14:textId="77777777" w:rsidR="009753DF" w:rsidRPr="00AD2B43" w:rsidRDefault="009753DF" w:rsidP="009753DF">
      <w:pPr>
        <w:pStyle w:val="ListParagraph"/>
        <w:numPr>
          <w:ilvl w:val="0"/>
          <w:numId w:val="3"/>
        </w:numPr>
        <w:shd w:val="clear" w:color="auto" w:fill="FFFFFF"/>
        <w:spacing w:after="0" w:line="240" w:lineRule="auto"/>
        <w:rPr>
          <w:rFonts w:eastAsia="Times New Roman" w:cstheme="minorHAnsi"/>
          <w:color w:val="222222"/>
          <w:lang w:eastAsia="en-AU"/>
        </w:rPr>
      </w:pPr>
      <w:r w:rsidRPr="00AD2B43">
        <w:rPr>
          <w:rFonts w:eastAsia="Times New Roman" w:cstheme="minorHAnsi"/>
          <w:color w:val="222222"/>
          <w:lang w:eastAsia="en-AU"/>
        </w:rPr>
        <w:t>Inclusion Australia</w:t>
      </w:r>
    </w:p>
    <w:p w14:paraId="707AF15E" w14:textId="77777777" w:rsidR="009753DF" w:rsidRPr="00AD2B43" w:rsidRDefault="009753DF" w:rsidP="009753DF">
      <w:pPr>
        <w:pStyle w:val="ListParagraph"/>
        <w:numPr>
          <w:ilvl w:val="0"/>
          <w:numId w:val="3"/>
        </w:numPr>
        <w:shd w:val="clear" w:color="auto" w:fill="FFFFFF"/>
        <w:spacing w:after="0" w:line="240" w:lineRule="auto"/>
        <w:rPr>
          <w:rFonts w:eastAsia="Times New Roman" w:cstheme="minorHAnsi"/>
          <w:color w:val="222222"/>
          <w:lang w:eastAsia="en-AU"/>
        </w:rPr>
      </w:pPr>
      <w:r w:rsidRPr="00AD2B43">
        <w:rPr>
          <w:rFonts w:eastAsia="Times New Roman" w:cstheme="minorHAnsi"/>
          <w:color w:val="222222"/>
          <w:lang w:eastAsia="en-AU"/>
        </w:rPr>
        <w:t>National Aboriginal and Torres Strait Islander Legal Services</w:t>
      </w:r>
    </w:p>
    <w:p w14:paraId="707AF15F" w14:textId="77777777" w:rsidR="009753DF" w:rsidRPr="00AD2B43" w:rsidRDefault="009753DF" w:rsidP="009753DF">
      <w:pPr>
        <w:pStyle w:val="ListParagraph"/>
        <w:numPr>
          <w:ilvl w:val="0"/>
          <w:numId w:val="3"/>
        </w:numPr>
        <w:shd w:val="clear" w:color="auto" w:fill="FFFFFF"/>
        <w:spacing w:after="0" w:line="240" w:lineRule="auto"/>
        <w:rPr>
          <w:rFonts w:eastAsia="Times New Roman" w:cstheme="minorHAnsi"/>
          <w:color w:val="222222"/>
          <w:lang w:eastAsia="en-AU"/>
        </w:rPr>
      </w:pPr>
      <w:r w:rsidRPr="00AD2B43">
        <w:rPr>
          <w:rFonts w:eastAsia="Times New Roman" w:cstheme="minorHAnsi"/>
          <w:color w:val="222222"/>
          <w:lang w:eastAsia="en-AU"/>
        </w:rPr>
        <w:t>National Ethnic Disability Alliance</w:t>
      </w:r>
    </w:p>
    <w:p w14:paraId="707AF160" w14:textId="77777777" w:rsidR="009753DF" w:rsidRPr="00AD2B43" w:rsidRDefault="009753DF" w:rsidP="009753DF">
      <w:pPr>
        <w:pStyle w:val="ListParagraph"/>
        <w:numPr>
          <w:ilvl w:val="0"/>
          <w:numId w:val="3"/>
        </w:numPr>
        <w:shd w:val="clear" w:color="auto" w:fill="FFFFFF"/>
        <w:spacing w:after="0" w:line="240" w:lineRule="auto"/>
        <w:rPr>
          <w:rFonts w:eastAsia="Times New Roman" w:cstheme="minorHAnsi"/>
          <w:color w:val="222222"/>
          <w:lang w:eastAsia="en-AU"/>
        </w:rPr>
      </w:pPr>
      <w:r w:rsidRPr="00AD2B43">
        <w:rPr>
          <w:rFonts w:eastAsia="Times New Roman" w:cstheme="minorHAnsi"/>
          <w:color w:val="222222"/>
          <w:lang w:eastAsia="en-AU"/>
        </w:rPr>
        <w:t>National Mental Health Consumer and Carer Forum</w:t>
      </w:r>
    </w:p>
    <w:p w14:paraId="707AF161" w14:textId="77777777" w:rsidR="009753DF" w:rsidRPr="00AD2B43" w:rsidRDefault="009753DF" w:rsidP="009753DF">
      <w:pPr>
        <w:pStyle w:val="ListParagraph"/>
        <w:numPr>
          <w:ilvl w:val="0"/>
          <w:numId w:val="3"/>
        </w:numPr>
        <w:shd w:val="clear" w:color="auto" w:fill="FFFFFF"/>
        <w:spacing w:after="0" w:line="240" w:lineRule="auto"/>
        <w:rPr>
          <w:rFonts w:eastAsia="Times New Roman" w:cstheme="minorHAnsi"/>
          <w:color w:val="222222"/>
          <w:lang w:eastAsia="en-AU"/>
        </w:rPr>
      </w:pPr>
      <w:r w:rsidRPr="00AD2B43">
        <w:rPr>
          <w:rFonts w:eastAsia="Times New Roman" w:cstheme="minorHAnsi"/>
          <w:color w:val="222222"/>
          <w:lang w:eastAsia="en-AU"/>
        </w:rPr>
        <w:t>People with Disability Australia</w:t>
      </w:r>
    </w:p>
    <w:p w14:paraId="707AF162" w14:textId="77777777" w:rsidR="009753DF" w:rsidRPr="00AD2B43" w:rsidRDefault="009753DF" w:rsidP="009753DF">
      <w:pPr>
        <w:pStyle w:val="ListParagraph"/>
        <w:numPr>
          <w:ilvl w:val="0"/>
          <w:numId w:val="3"/>
        </w:numPr>
        <w:shd w:val="clear" w:color="auto" w:fill="FFFFFF"/>
        <w:spacing w:after="0" w:line="240" w:lineRule="auto"/>
        <w:rPr>
          <w:rFonts w:eastAsia="Times New Roman" w:cstheme="minorHAnsi"/>
          <w:color w:val="222222"/>
          <w:lang w:eastAsia="en-AU"/>
        </w:rPr>
      </w:pPr>
      <w:r w:rsidRPr="00AD2B43">
        <w:rPr>
          <w:rFonts w:eastAsia="Times New Roman" w:cstheme="minorHAnsi"/>
          <w:color w:val="222222"/>
          <w:lang w:eastAsia="en-AU"/>
        </w:rPr>
        <w:t>Physical Disability Australia</w:t>
      </w:r>
    </w:p>
    <w:p w14:paraId="707AF163" w14:textId="77777777" w:rsidR="009753DF" w:rsidRPr="00AD2B43" w:rsidRDefault="009753DF" w:rsidP="009753DF">
      <w:pPr>
        <w:pStyle w:val="ListParagraph"/>
        <w:numPr>
          <w:ilvl w:val="0"/>
          <w:numId w:val="3"/>
        </w:numPr>
        <w:shd w:val="clear" w:color="auto" w:fill="FFFFFF"/>
        <w:spacing w:after="0" w:line="240" w:lineRule="auto"/>
        <w:rPr>
          <w:rFonts w:eastAsia="Times New Roman" w:cstheme="minorHAnsi"/>
          <w:color w:val="222222"/>
          <w:lang w:eastAsia="en-AU"/>
        </w:rPr>
      </w:pPr>
      <w:r w:rsidRPr="00AD2B43">
        <w:rPr>
          <w:rFonts w:eastAsia="Times New Roman" w:cstheme="minorHAnsi"/>
          <w:color w:val="222222"/>
          <w:lang w:eastAsia="en-AU"/>
        </w:rPr>
        <w:t>Women with Disabilities Australia</w:t>
      </w:r>
    </w:p>
    <w:p w14:paraId="707AF164" w14:textId="77777777" w:rsidR="009753DF" w:rsidRPr="00AD2B43" w:rsidRDefault="009753DF" w:rsidP="009753DF">
      <w:pPr>
        <w:pStyle w:val="ListParagraph"/>
        <w:numPr>
          <w:ilvl w:val="0"/>
          <w:numId w:val="3"/>
        </w:numPr>
        <w:shd w:val="clear" w:color="auto" w:fill="FFFFFF"/>
        <w:spacing w:after="0" w:line="240" w:lineRule="auto"/>
        <w:rPr>
          <w:rFonts w:eastAsia="Times New Roman" w:cstheme="minorHAnsi"/>
          <w:color w:val="222222"/>
          <w:lang w:eastAsia="en-AU"/>
        </w:rPr>
      </w:pPr>
      <w:r w:rsidRPr="00AD2B43">
        <w:rPr>
          <w:rFonts w:eastAsia="Times New Roman" w:cstheme="minorHAnsi"/>
          <w:color w:val="222222"/>
          <w:lang w:eastAsia="en-AU"/>
        </w:rPr>
        <w:t>Your Story Disability Legal Support</w:t>
      </w:r>
    </w:p>
    <w:p w14:paraId="707AF165" w14:textId="77777777" w:rsidR="009753DF" w:rsidRDefault="009753DF" w:rsidP="009753DF">
      <w:pPr>
        <w:rPr>
          <w:rFonts w:eastAsia="Times New Roman" w:cstheme="minorHAnsi"/>
          <w:color w:val="222222"/>
          <w:lang w:eastAsia="en-AU"/>
        </w:rPr>
      </w:pPr>
    </w:p>
    <w:p w14:paraId="707AF166" w14:textId="77777777" w:rsidR="009753DF" w:rsidRDefault="009753DF" w:rsidP="009753DF">
      <w:pPr>
        <w:rPr>
          <w:rFonts w:eastAsia="Times New Roman" w:cstheme="minorHAnsi"/>
          <w:color w:val="222222"/>
          <w:lang w:eastAsia="en-AU"/>
        </w:rPr>
      </w:pPr>
    </w:p>
    <w:p w14:paraId="707AF167" w14:textId="77777777" w:rsidR="009753DF" w:rsidRDefault="009753DF" w:rsidP="009753DF">
      <w:pPr>
        <w:rPr>
          <w:rFonts w:eastAsia="Times New Roman" w:cstheme="minorHAnsi"/>
          <w:color w:val="222222"/>
          <w:lang w:eastAsia="en-AU"/>
        </w:rPr>
      </w:pPr>
    </w:p>
    <w:p w14:paraId="707AF168" w14:textId="77777777" w:rsidR="009753DF" w:rsidRPr="005C473C" w:rsidRDefault="009753DF" w:rsidP="005C473C">
      <w:pPr>
        <w:rPr>
          <w:b/>
        </w:rPr>
      </w:pPr>
      <w:r w:rsidRPr="005C473C">
        <w:rPr>
          <w:b/>
        </w:rPr>
        <w:lastRenderedPageBreak/>
        <w:t>Questions for stakeholder organisations</w:t>
      </w:r>
    </w:p>
    <w:p w14:paraId="707AF169" w14:textId="77777777" w:rsidR="009753DF" w:rsidRPr="00F366D3" w:rsidRDefault="009753DF" w:rsidP="009753DF">
      <w:pPr>
        <w:rPr>
          <w:rFonts w:cstheme="minorHAnsi"/>
        </w:rPr>
      </w:pPr>
      <w:r w:rsidRPr="00F366D3">
        <w:rPr>
          <w:rFonts w:cstheme="minorHAnsi"/>
        </w:rPr>
        <w:t xml:space="preserve">Listed below are the questions asked in correspondence </w:t>
      </w:r>
      <w:r>
        <w:rPr>
          <w:rFonts w:cstheme="minorHAnsi"/>
        </w:rPr>
        <w:t xml:space="preserve">the department </w:t>
      </w:r>
      <w:r w:rsidRPr="00F366D3">
        <w:rPr>
          <w:rFonts w:cstheme="minorHAnsi"/>
        </w:rPr>
        <w:t xml:space="preserve">sent to the 20 disability representative organisations listed above, inviting their input into the review. </w:t>
      </w:r>
    </w:p>
    <w:p w14:paraId="707AF16A" w14:textId="77777777" w:rsidR="009753DF" w:rsidRPr="004C4B16" w:rsidRDefault="009753DF" w:rsidP="009753DF">
      <w:pPr>
        <w:pStyle w:val="Paragraph"/>
        <w:numPr>
          <w:ilvl w:val="0"/>
          <w:numId w:val="5"/>
        </w:numPr>
        <w:jc w:val="both"/>
        <w:rPr>
          <w:rFonts w:asciiTheme="minorHAnsi" w:hAnsiTheme="minorHAnsi" w:cstheme="minorHAnsi"/>
          <w:sz w:val="22"/>
          <w:szCs w:val="22"/>
        </w:rPr>
      </w:pPr>
      <w:r w:rsidRPr="004C4B16">
        <w:rPr>
          <w:rFonts w:asciiTheme="minorHAnsi" w:hAnsiTheme="minorHAnsi" w:cstheme="minorHAnsi"/>
          <w:sz w:val="22"/>
          <w:szCs w:val="22"/>
        </w:rPr>
        <w:t xml:space="preserve">What issues/concerns have people raised with </w:t>
      </w:r>
      <w:r>
        <w:rPr>
          <w:rFonts w:asciiTheme="minorHAnsi" w:hAnsiTheme="minorHAnsi" w:cstheme="minorHAnsi"/>
          <w:sz w:val="22"/>
          <w:szCs w:val="22"/>
        </w:rPr>
        <w:t>the First Peoples Disability Network</w:t>
      </w:r>
      <w:r w:rsidRPr="004C4B16">
        <w:rPr>
          <w:rFonts w:asciiTheme="minorHAnsi" w:hAnsiTheme="minorHAnsi" w:cstheme="minorHAnsi"/>
          <w:sz w:val="22"/>
          <w:szCs w:val="22"/>
        </w:rPr>
        <w:t xml:space="preserve"> about how information they might provide to the Royal Commission would be protected? </w:t>
      </w:r>
    </w:p>
    <w:p w14:paraId="707AF16B" w14:textId="77777777" w:rsidR="009753DF" w:rsidRPr="004C4B16" w:rsidRDefault="009753DF" w:rsidP="009753DF">
      <w:pPr>
        <w:pStyle w:val="Paragraph"/>
        <w:numPr>
          <w:ilvl w:val="0"/>
          <w:numId w:val="5"/>
        </w:numPr>
        <w:jc w:val="both"/>
        <w:rPr>
          <w:rFonts w:asciiTheme="minorHAnsi" w:hAnsiTheme="minorHAnsi" w:cstheme="minorHAnsi"/>
          <w:sz w:val="22"/>
          <w:szCs w:val="22"/>
        </w:rPr>
      </w:pPr>
      <w:r w:rsidRPr="004C4B16">
        <w:rPr>
          <w:rFonts w:asciiTheme="minorHAnsi" w:hAnsiTheme="minorHAnsi" w:cstheme="minorHAnsi"/>
          <w:sz w:val="22"/>
          <w:szCs w:val="22"/>
        </w:rPr>
        <w:t>Where people have been reluctant to provide information, what have been their main concerns, barriers or experiences?</w:t>
      </w:r>
    </w:p>
    <w:p w14:paraId="707AF16C" w14:textId="77777777" w:rsidR="009753DF" w:rsidRPr="004C4B16" w:rsidRDefault="009753DF" w:rsidP="009753DF">
      <w:pPr>
        <w:pStyle w:val="Paragraph"/>
        <w:numPr>
          <w:ilvl w:val="0"/>
          <w:numId w:val="6"/>
        </w:numPr>
        <w:jc w:val="both"/>
        <w:rPr>
          <w:rFonts w:asciiTheme="minorHAnsi" w:hAnsiTheme="minorHAnsi" w:cstheme="minorHAnsi"/>
          <w:sz w:val="22"/>
          <w:szCs w:val="22"/>
        </w:rPr>
      </w:pPr>
      <w:r w:rsidRPr="004C4B16">
        <w:rPr>
          <w:rFonts w:asciiTheme="minorHAnsi" w:hAnsiTheme="minorHAnsi" w:cstheme="minorHAnsi"/>
          <w:sz w:val="22"/>
          <w:szCs w:val="22"/>
        </w:rPr>
        <w:t xml:space="preserve">How satisfied have people been with the assurances provided by the Royal Commission about how they can provide information in a confidential way, and about how their information and identities will be protected? </w:t>
      </w:r>
    </w:p>
    <w:p w14:paraId="707AF16D" w14:textId="77777777" w:rsidR="009753DF" w:rsidRPr="004C4B16" w:rsidRDefault="009753DF" w:rsidP="009753DF">
      <w:pPr>
        <w:pStyle w:val="Paragraph"/>
        <w:numPr>
          <w:ilvl w:val="0"/>
          <w:numId w:val="6"/>
        </w:numPr>
        <w:jc w:val="both"/>
        <w:rPr>
          <w:rFonts w:asciiTheme="minorHAnsi" w:hAnsiTheme="minorHAnsi" w:cstheme="minorHAnsi"/>
          <w:sz w:val="22"/>
          <w:szCs w:val="22"/>
        </w:rPr>
      </w:pPr>
      <w:r w:rsidRPr="004C4B16">
        <w:rPr>
          <w:rFonts w:asciiTheme="minorHAnsi" w:hAnsiTheme="minorHAnsi" w:cstheme="minorHAnsi"/>
          <w:sz w:val="22"/>
          <w:szCs w:val="22"/>
        </w:rPr>
        <w:t xml:space="preserve">Where people have expressed fear about other people, such as support workers, finding out about their submission, have people clarified what particular consequences they would fear? What measures have worked to reassure people that they can tell their story? </w:t>
      </w:r>
    </w:p>
    <w:p w14:paraId="707AF16E" w14:textId="77777777" w:rsidR="009753DF" w:rsidRPr="004C4B16" w:rsidRDefault="009753DF" w:rsidP="009753DF">
      <w:pPr>
        <w:pStyle w:val="Paragraph"/>
        <w:numPr>
          <w:ilvl w:val="0"/>
          <w:numId w:val="2"/>
        </w:numPr>
        <w:jc w:val="both"/>
        <w:rPr>
          <w:rFonts w:asciiTheme="minorHAnsi" w:hAnsiTheme="minorHAnsi" w:cstheme="minorHAnsi"/>
          <w:sz w:val="22"/>
          <w:szCs w:val="22"/>
        </w:rPr>
      </w:pPr>
      <w:r w:rsidRPr="004C4B16">
        <w:rPr>
          <w:rFonts w:asciiTheme="minorHAnsi" w:hAnsiTheme="minorHAnsi" w:cstheme="minorHAnsi"/>
          <w:sz w:val="22"/>
          <w:szCs w:val="22"/>
        </w:rPr>
        <w:t>Have people raised concerns about any specific adverse consequences that may arise as a result of their engagement with the Royal Commission, such as their disability care, support services, employment or other consequences?</w:t>
      </w:r>
    </w:p>
    <w:p w14:paraId="707AF16F" w14:textId="77777777" w:rsidR="009753DF" w:rsidRPr="004C4B16" w:rsidRDefault="009753DF" w:rsidP="009753DF">
      <w:pPr>
        <w:pStyle w:val="Paragraph"/>
        <w:numPr>
          <w:ilvl w:val="1"/>
          <w:numId w:val="2"/>
        </w:numPr>
        <w:jc w:val="both"/>
        <w:rPr>
          <w:rFonts w:asciiTheme="minorHAnsi" w:hAnsiTheme="minorHAnsi" w:cstheme="minorHAnsi"/>
          <w:sz w:val="22"/>
          <w:szCs w:val="22"/>
        </w:rPr>
      </w:pPr>
      <w:r w:rsidRPr="004C4B16">
        <w:rPr>
          <w:rFonts w:asciiTheme="minorHAnsi" w:hAnsiTheme="minorHAnsi" w:cstheme="minorHAnsi"/>
          <w:sz w:val="22"/>
          <w:szCs w:val="22"/>
        </w:rPr>
        <w:t>Where people have expressed fear about adverse consequences arising from engagement with the Royal Commission, have people clarified what particular consequences they would fear?</w:t>
      </w:r>
    </w:p>
    <w:p w14:paraId="707AF170" w14:textId="77777777" w:rsidR="009753DF" w:rsidRPr="004C4B16" w:rsidRDefault="009753DF" w:rsidP="009753DF">
      <w:pPr>
        <w:pStyle w:val="Paragraph"/>
        <w:numPr>
          <w:ilvl w:val="0"/>
          <w:numId w:val="2"/>
        </w:numPr>
        <w:jc w:val="both"/>
        <w:rPr>
          <w:rFonts w:asciiTheme="minorHAnsi" w:hAnsiTheme="minorHAnsi" w:cstheme="minorHAnsi"/>
          <w:sz w:val="22"/>
          <w:szCs w:val="22"/>
        </w:rPr>
      </w:pPr>
      <w:r w:rsidRPr="004C4B16">
        <w:rPr>
          <w:rFonts w:asciiTheme="minorHAnsi" w:hAnsiTheme="minorHAnsi" w:cstheme="minorHAnsi"/>
          <w:sz w:val="22"/>
          <w:szCs w:val="22"/>
        </w:rPr>
        <w:t>Where people have engaged with the Royal Commission, which means of providing information to the Royal Commission have people found to have been the most effective?</w:t>
      </w:r>
    </w:p>
    <w:p w14:paraId="707AF171" w14:textId="77777777" w:rsidR="009753DF" w:rsidRPr="004C4B16" w:rsidRDefault="009753DF" w:rsidP="009753DF">
      <w:pPr>
        <w:pStyle w:val="Paragraph"/>
        <w:numPr>
          <w:ilvl w:val="1"/>
          <w:numId w:val="2"/>
        </w:numPr>
        <w:jc w:val="both"/>
        <w:rPr>
          <w:rFonts w:asciiTheme="minorHAnsi" w:hAnsiTheme="minorHAnsi" w:cstheme="minorHAnsi"/>
          <w:sz w:val="22"/>
          <w:szCs w:val="22"/>
        </w:rPr>
      </w:pPr>
      <w:r w:rsidRPr="004C4B16">
        <w:rPr>
          <w:rFonts w:asciiTheme="minorHAnsi" w:hAnsiTheme="minorHAnsi" w:cstheme="minorHAnsi"/>
          <w:sz w:val="22"/>
          <w:szCs w:val="22"/>
        </w:rPr>
        <w:t>Have people been more interested in providing written feedback to the Royal Commission, attending public hearings or participating in private sessions?</w:t>
      </w:r>
    </w:p>
    <w:p w14:paraId="707AF172" w14:textId="77777777" w:rsidR="009753DF" w:rsidRPr="004C4B16" w:rsidRDefault="009753DF" w:rsidP="009753DF">
      <w:pPr>
        <w:pStyle w:val="Paragraph"/>
        <w:numPr>
          <w:ilvl w:val="1"/>
          <w:numId w:val="2"/>
        </w:numPr>
        <w:jc w:val="both"/>
        <w:rPr>
          <w:rFonts w:asciiTheme="minorHAnsi" w:hAnsiTheme="minorHAnsi" w:cstheme="minorHAnsi"/>
          <w:sz w:val="22"/>
          <w:szCs w:val="22"/>
        </w:rPr>
      </w:pPr>
      <w:r w:rsidRPr="004C4B16">
        <w:rPr>
          <w:rFonts w:asciiTheme="minorHAnsi" w:hAnsiTheme="minorHAnsi" w:cstheme="minorHAnsi"/>
          <w:sz w:val="22"/>
          <w:szCs w:val="22"/>
        </w:rPr>
        <w:t>Have you identified any changes in people’s willingness or desire to provide feedback to the Royal Commission since the commencement of the recent legislative amendments?</w:t>
      </w:r>
    </w:p>
    <w:p w14:paraId="707AF173" w14:textId="77777777" w:rsidR="009753DF" w:rsidRPr="004C4B16" w:rsidRDefault="009753DF" w:rsidP="009753DF">
      <w:pPr>
        <w:pStyle w:val="Paragraph"/>
        <w:numPr>
          <w:ilvl w:val="0"/>
          <w:numId w:val="2"/>
        </w:numPr>
        <w:jc w:val="both"/>
        <w:rPr>
          <w:rFonts w:asciiTheme="minorHAnsi" w:hAnsiTheme="minorHAnsi" w:cstheme="minorHAnsi"/>
          <w:sz w:val="22"/>
          <w:szCs w:val="22"/>
        </w:rPr>
      </w:pPr>
      <w:r w:rsidRPr="004C4B16">
        <w:rPr>
          <w:rFonts w:asciiTheme="minorHAnsi" w:hAnsiTheme="minorHAnsi" w:cstheme="minorHAnsi"/>
          <w:sz w:val="22"/>
          <w:szCs w:val="22"/>
        </w:rPr>
        <w:t>What do you consider would be the most effective ways of alleviating people’s concerns about providing information to the Royal Commission?</w:t>
      </w:r>
    </w:p>
    <w:p w14:paraId="707AF174" w14:textId="77777777" w:rsidR="009753DF" w:rsidRPr="00DB2B77" w:rsidRDefault="009753DF" w:rsidP="009753DF">
      <w:pPr>
        <w:pStyle w:val="Paragraph"/>
        <w:numPr>
          <w:ilvl w:val="1"/>
          <w:numId w:val="2"/>
        </w:numPr>
        <w:jc w:val="both"/>
        <w:rPr>
          <w:rFonts w:asciiTheme="minorHAnsi" w:hAnsiTheme="minorHAnsi" w:cstheme="minorHAnsi"/>
          <w:sz w:val="22"/>
          <w:szCs w:val="22"/>
        </w:rPr>
      </w:pPr>
      <w:r w:rsidRPr="004C4B16">
        <w:rPr>
          <w:rFonts w:asciiTheme="minorHAnsi" w:hAnsiTheme="minorHAnsi" w:cstheme="minorHAnsi"/>
          <w:sz w:val="22"/>
          <w:szCs w:val="22"/>
        </w:rPr>
        <w:t>Are there particular legislative amendments or policies that you think would encourage people to come forward to the Royal Commission?</w:t>
      </w:r>
    </w:p>
    <w:p w14:paraId="707AF175" w14:textId="77777777" w:rsidR="009753DF" w:rsidRPr="00D81AA2" w:rsidRDefault="009753DF" w:rsidP="009753DF">
      <w:pPr>
        <w:rPr>
          <w:b/>
          <w:lang w:val="en-GB"/>
        </w:rPr>
      </w:pPr>
      <w:r w:rsidRPr="00D81AA2">
        <w:rPr>
          <w:b/>
          <w:lang w:val="en-GB"/>
        </w:rPr>
        <w:lastRenderedPageBreak/>
        <w:t>Survey Questions</w:t>
      </w:r>
    </w:p>
    <w:p w14:paraId="707AF176" w14:textId="77777777" w:rsidR="009753DF" w:rsidRDefault="009753DF" w:rsidP="009753DF">
      <w:pPr>
        <w:rPr>
          <w:lang w:val="en-GB"/>
        </w:rPr>
      </w:pPr>
      <w:r>
        <w:rPr>
          <w:lang w:val="en-GB"/>
        </w:rPr>
        <w:t xml:space="preserve">Listed below are questions asked in an online survey published on the Attorney General’s Department website. </w:t>
      </w:r>
    </w:p>
    <w:p w14:paraId="707AF177" w14:textId="77777777" w:rsidR="009753DF" w:rsidRPr="00F366D3" w:rsidRDefault="009753DF" w:rsidP="009753DF">
      <w:pPr>
        <w:pStyle w:val="ListParagraph"/>
        <w:numPr>
          <w:ilvl w:val="0"/>
          <w:numId w:val="4"/>
        </w:numPr>
        <w:ind w:left="360"/>
        <w:rPr>
          <w:rFonts w:eastAsiaTheme="minorHAnsi"/>
          <w:bCs/>
          <w:w w:val="100"/>
          <w:kern w:val="0"/>
        </w:rPr>
      </w:pPr>
      <w:r w:rsidRPr="00F366D3">
        <w:rPr>
          <w:bCs/>
        </w:rPr>
        <w:t>Are you satisfied with the options available for providing sensitive information to royal commissions? Are there other ways of providing information that you would like to be able to use?</w:t>
      </w:r>
    </w:p>
    <w:p w14:paraId="707AF178" w14:textId="77777777" w:rsidR="009753DF" w:rsidRPr="00F366D3" w:rsidRDefault="009753DF" w:rsidP="009753DF">
      <w:pPr>
        <w:pStyle w:val="ListParagraph"/>
        <w:numPr>
          <w:ilvl w:val="0"/>
          <w:numId w:val="4"/>
        </w:numPr>
        <w:ind w:left="360"/>
        <w:rPr>
          <w:bCs/>
        </w:rPr>
      </w:pPr>
      <w:r w:rsidRPr="00F366D3">
        <w:rPr>
          <w:bCs/>
        </w:rPr>
        <w:t>What are some concerns or barriers that would make you or someone you know reluctant to provide sensitive information to a royal commission?</w:t>
      </w:r>
    </w:p>
    <w:p w14:paraId="707AF179" w14:textId="77777777" w:rsidR="009753DF" w:rsidRPr="00F366D3" w:rsidRDefault="009753DF" w:rsidP="009753DF">
      <w:pPr>
        <w:pStyle w:val="ListParagraph"/>
        <w:numPr>
          <w:ilvl w:val="0"/>
          <w:numId w:val="4"/>
        </w:numPr>
        <w:ind w:left="360"/>
        <w:rPr>
          <w:bCs/>
        </w:rPr>
      </w:pPr>
      <w:r w:rsidRPr="00F366D3">
        <w:rPr>
          <w:bCs/>
        </w:rPr>
        <w:t>Do you have any examples of a person having experienced negative consequences from engaging with a royal commission? This could be in the form of receiving different treatment from care providers, family, friends, or employers.</w:t>
      </w:r>
    </w:p>
    <w:p w14:paraId="707AF17A" w14:textId="77777777" w:rsidR="009753DF" w:rsidRPr="00F366D3" w:rsidRDefault="009753DF" w:rsidP="009753DF">
      <w:pPr>
        <w:pStyle w:val="ListParagraph"/>
        <w:numPr>
          <w:ilvl w:val="0"/>
          <w:numId w:val="4"/>
        </w:numPr>
        <w:ind w:left="360"/>
        <w:rPr>
          <w:bCs/>
        </w:rPr>
      </w:pPr>
      <w:r w:rsidRPr="00F366D3">
        <w:rPr>
          <w:bCs/>
        </w:rPr>
        <w:t>Where you, or a person you know, have been willing to share sensitive information with a royal commission, what has worked to reassure you/them that you/they can tell your/their story?</w:t>
      </w:r>
    </w:p>
    <w:p w14:paraId="707AF17B" w14:textId="77777777" w:rsidR="009753DF" w:rsidRPr="00F366D3" w:rsidRDefault="009753DF" w:rsidP="009753DF">
      <w:pPr>
        <w:pStyle w:val="ListParagraph"/>
        <w:numPr>
          <w:ilvl w:val="0"/>
          <w:numId w:val="4"/>
        </w:numPr>
        <w:ind w:left="360"/>
        <w:rPr>
          <w:bCs/>
        </w:rPr>
      </w:pPr>
      <w:r w:rsidRPr="00F366D3">
        <w:rPr>
          <w:bCs/>
        </w:rPr>
        <w:t>Do you feel the law does enough to protect people's identities when they have given confidential information to a royal commission? What other legal protections would you like to see?</w:t>
      </w:r>
    </w:p>
    <w:p w14:paraId="707AF17C" w14:textId="77777777" w:rsidR="009753DF" w:rsidRPr="00F366D3" w:rsidRDefault="009753DF" w:rsidP="009753DF">
      <w:pPr>
        <w:pStyle w:val="ListParagraph"/>
        <w:numPr>
          <w:ilvl w:val="0"/>
          <w:numId w:val="4"/>
        </w:numPr>
        <w:ind w:left="360"/>
        <w:rPr>
          <w:bCs/>
        </w:rPr>
      </w:pPr>
      <w:r w:rsidRPr="00F366D3">
        <w:rPr>
          <w:bCs/>
        </w:rPr>
        <w:t>The Australian Government recently changed the law to give greater protections to people providing sensitive information to the Disability Royal Commission. Since the government changed the law, have you or someone you know been more willing to share sensitive information with the Disability Royal Commission? This may include written feedback, attending public hearings, or participating in private sessions.</w:t>
      </w:r>
    </w:p>
    <w:p w14:paraId="707AF17D" w14:textId="77777777" w:rsidR="009753DF" w:rsidRPr="00F366D3" w:rsidRDefault="009753DF" w:rsidP="009753DF">
      <w:pPr>
        <w:pStyle w:val="ListParagraph"/>
        <w:numPr>
          <w:ilvl w:val="0"/>
          <w:numId w:val="4"/>
        </w:numPr>
        <w:ind w:left="360"/>
        <w:rPr>
          <w:bCs/>
        </w:rPr>
      </w:pPr>
      <w:r w:rsidRPr="00F366D3">
        <w:rPr>
          <w:bCs/>
        </w:rPr>
        <w:t>What do you think would make you or someone you know more likely to provide sensitive information to a royal commission? This may include changes to the law, policies, or other initiatives.</w:t>
      </w:r>
    </w:p>
    <w:p w14:paraId="707AF17E" w14:textId="23C21D51" w:rsidR="00030303" w:rsidRDefault="00030303">
      <w:pPr>
        <w:spacing w:after="160" w:line="259" w:lineRule="auto"/>
      </w:pPr>
      <w:r>
        <w:br w:type="page"/>
      </w:r>
    </w:p>
    <w:p w14:paraId="479C54A9" w14:textId="77777777" w:rsidR="00030303" w:rsidRPr="00295609" w:rsidRDefault="00030303" w:rsidP="00030303">
      <w:pPr>
        <w:pStyle w:val="Heading1"/>
        <w:tabs>
          <w:tab w:val="clear" w:pos="850"/>
          <w:tab w:val="num" w:pos="0"/>
        </w:tabs>
        <w:ind w:left="0" w:firstLine="0"/>
        <w:rPr>
          <w:sz w:val="22"/>
          <w:szCs w:val="22"/>
        </w:rPr>
      </w:pPr>
      <w:r w:rsidRPr="0095643D">
        <w:rPr>
          <w:sz w:val="36"/>
          <w:szCs w:val="36"/>
          <w:lang w:eastAsia="en-AU"/>
        </w:rPr>
        <w:lastRenderedPageBreak/>
        <w:t xml:space="preserve">Appendix </w:t>
      </w:r>
      <w:r>
        <w:rPr>
          <w:sz w:val="36"/>
          <w:szCs w:val="36"/>
          <w:lang w:eastAsia="en-AU"/>
        </w:rPr>
        <w:t>B</w:t>
      </w:r>
      <w:r w:rsidRPr="0095643D">
        <w:rPr>
          <w:sz w:val="36"/>
          <w:szCs w:val="36"/>
          <w:lang w:eastAsia="en-AU"/>
        </w:rPr>
        <w:t>: Detailed analysis of common law remedies</w:t>
      </w:r>
    </w:p>
    <w:p w14:paraId="5368BF8B" w14:textId="77777777" w:rsidR="00030303" w:rsidRPr="00295609" w:rsidRDefault="00030303" w:rsidP="00030303">
      <w:pPr>
        <w:pStyle w:val="Heading2"/>
        <w:ind w:left="425"/>
        <w:rPr>
          <w:color w:val="auto"/>
          <w:sz w:val="22"/>
          <w:szCs w:val="22"/>
        </w:rPr>
      </w:pPr>
      <w:bookmarkStart w:id="0" w:name="_Toc94705404"/>
      <w:bookmarkStart w:id="1" w:name="_Toc94878176"/>
      <w:r w:rsidRPr="00295609">
        <w:rPr>
          <w:color w:val="auto"/>
          <w:sz w:val="22"/>
          <w:szCs w:val="22"/>
        </w:rPr>
        <w:t>Common law remedies</w:t>
      </w:r>
      <w:bookmarkEnd w:id="0"/>
      <w:bookmarkEnd w:id="1"/>
    </w:p>
    <w:p w14:paraId="748923C4" w14:textId="77777777" w:rsidR="00030303" w:rsidRPr="009778A2" w:rsidRDefault="00030303" w:rsidP="00030303">
      <w:r w:rsidRPr="009778A2">
        <w:t xml:space="preserve">Common </w:t>
      </w:r>
      <w:r>
        <w:t>l</w:t>
      </w:r>
      <w:r w:rsidRPr="009778A2">
        <w:t xml:space="preserve">aw remedies may be available to people who suffer detriment due to their engagement with a Royal Commission or </w:t>
      </w:r>
      <w:r>
        <w:t>C</w:t>
      </w:r>
      <w:r w:rsidRPr="009778A2">
        <w:t xml:space="preserve">ommission of </w:t>
      </w:r>
      <w:r>
        <w:t>I</w:t>
      </w:r>
      <w:r w:rsidRPr="009778A2">
        <w:t xml:space="preserve">nquiry where the circumstances of the individual case satisfy the test at common law for a cause of action against the entity which occasioned the detriment. There is no common law </w:t>
      </w:r>
      <w:r w:rsidRPr="009778A2">
        <w:rPr>
          <w:i/>
        </w:rPr>
        <w:t>sui generis</w:t>
      </w:r>
      <w:r w:rsidRPr="009778A2">
        <w:t xml:space="preserve"> tort or principle which exists for whistle-blowers or other witnesses. Whistle-blowers and witnesses will need to avail themselves of the ordinary principles and torts available to the community generally.</w:t>
      </w:r>
    </w:p>
    <w:p w14:paraId="4C2E0219" w14:textId="77777777" w:rsidR="00030303" w:rsidRDefault="00030303" w:rsidP="00030303">
      <w:r w:rsidRPr="009778A2">
        <w:t xml:space="preserve">While the causes of action discussed below may be available, they were not developed specifically for the circumstances of an individual suffering detriment due to their engagement with a commission of inquiry. Even when the cause of action may be available, accessing the remedy requires litigation which may not be a practical </w:t>
      </w:r>
      <w:r>
        <w:t xml:space="preserve">or efficient </w:t>
      </w:r>
      <w:r w:rsidRPr="009778A2">
        <w:t xml:space="preserve">solution for some types of detriment suffered. </w:t>
      </w:r>
      <w:r>
        <w:t>Additionally, the adequacy of common law remedies may be limited by financial means, knowledge of rights, time, access to legal assistance and a fear of further detriment.</w:t>
      </w:r>
    </w:p>
    <w:p w14:paraId="1C136881" w14:textId="77777777" w:rsidR="00030303" w:rsidRPr="00295609" w:rsidRDefault="00030303" w:rsidP="00030303">
      <w:pPr>
        <w:pStyle w:val="Heading6"/>
      </w:pPr>
      <w:r w:rsidRPr="00295609">
        <w:t>Remedies available in contract law</w:t>
      </w:r>
    </w:p>
    <w:p w14:paraId="2F9CD429" w14:textId="77777777" w:rsidR="00030303" w:rsidRPr="009778A2" w:rsidRDefault="00030303" w:rsidP="00030303">
      <w:r w:rsidRPr="009778A2">
        <w:t xml:space="preserve">If a person who has suffered detriment had entered into a contract with the entity which is causing them </w:t>
      </w:r>
      <w:r>
        <w:t>the</w:t>
      </w:r>
      <w:r w:rsidRPr="009778A2">
        <w:t xml:space="preserve"> detriment and that act of causing them detriment is in breach of a term in the contract, then the person may have a remedy in contract law.</w:t>
      </w:r>
      <w:r>
        <w:t xml:space="preserve"> </w:t>
      </w:r>
      <w:r w:rsidRPr="009778A2">
        <w:t xml:space="preserve">The essence of a contractual cause of action is the breach of, or failure to perform, a contractual term. It is not generally relevant to the existence of the cause of action that the motivation for the breach of contract may have been to cause detriment to someone for their engagement with a commission of inquiry.  </w:t>
      </w:r>
    </w:p>
    <w:p w14:paraId="2E8404AF" w14:textId="77777777" w:rsidR="00030303" w:rsidRPr="00295609" w:rsidRDefault="00030303" w:rsidP="00030303">
      <w:pPr>
        <w:pStyle w:val="Heading6"/>
      </w:pPr>
      <w:r w:rsidRPr="00295609">
        <w:t>Remedies for breach of contract</w:t>
      </w:r>
    </w:p>
    <w:p w14:paraId="19B4749C" w14:textId="77777777" w:rsidR="00030303" w:rsidRPr="009778A2" w:rsidRDefault="00030303" w:rsidP="00030303">
      <w:r w:rsidRPr="009778A2">
        <w:t>Under Australian law, damages for a breach of contract are ‘compensatory’.</w:t>
      </w:r>
      <w:r w:rsidRPr="009778A2">
        <w:rPr>
          <w:vertAlign w:val="superscript"/>
        </w:rPr>
        <w:footnoteReference w:id="1"/>
      </w:r>
      <w:r w:rsidRPr="009778A2">
        <w:t xml:space="preserve"> That is to say that they compensate the plaintiff for damage suffered due to the breach, rather than penalise the defendant for their breach. The amount of damages is that dollar amount which places the plaintiff in the position they would be in had the contract been performed.</w:t>
      </w:r>
      <w:r w:rsidRPr="009778A2">
        <w:rPr>
          <w:vertAlign w:val="superscript"/>
        </w:rPr>
        <w:footnoteReference w:id="2"/>
      </w:r>
    </w:p>
    <w:p w14:paraId="3AEA3FA4" w14:textId="77777777" w:rsidR="00030303" w:rsidRPr="009778A2" w:rsidRDefault="00030303" w:rsidP="00030303">
      <w:r w:rsidRPr="009778A2">
        <w:t xml:space="preserve">Where the plaintiff can prove to the Court’s satisfaction that damages will be inadequate the Court has a discretion to order an equitable remedy such as an injunction preventing certain actions, or specific performance of terms of the contract. </w:t>
      </w:r>
    </w:p>
    <w:p w14:paraId="47984E8B" w14:textId="77777777" w:rsidR="00030303" w:rsidRPr="009778A2" w:rsidRDefault="00030303" w:rsidP="00030303">
      <w:r>
        <w:lastRenderedPageBreak/>
        <w:t xml:space="preserve">By way of </w:t>
      </w:r>
      <w:r w:rsidRPr="009778A2">
        <w:t>example</w:t>
      </w:r>
      <w:r>
        <w:t>, a breach of contract will ordinarily arise</w:t>
      </w:r>
      <w:r w:rsidRPr="009778A2">
        <w:t xml:space="preserve"> </w:t>
      </w:r>
      <w:r>
        <w:t xml:space="preserve">where </w:t>
      </w:r>
      <w:r w:rsidRPr="009778A2">
        <w:t>a service provider withhold</w:t>
      </w:r>
      <w:r>
        <w:t>s</w:t>
      </w:r>
      <w:r w:rsidRPr="009778A2">
        <w:t xml:space="preserve"> or underperform</w:t>
      </w:r>
      <w:r>
        <w:t>s</w:t>
      </w:r>
      <w:r w:rsidRPr="009778A2">
        <w:t xml:space="preserve"> services</w:t>
      </w:r>
      <w:r>
        <w:t xml:space="preserve"> due</w:t>
      </w:r>
      <w:r w:rsidRPr="009778A2">
        <w:t xml:space="preserve"> </w:t>
      </w:r>
      <w:r>
        <w:t xml:space="preserve">under a contract </w:t>
      </w:r>
      <w:r w:rsidRPr="009778A2">
        <w:t>in retaliation for their client engaging with a commission of inquiry. The remedy would likely be damages for the cost to the client of the breach, for example, paying someone else to do the work not performed.</w:t>
      </w:r>
    </w:p>
    <w:p w14:paraId="390A0DC7" w14:textId="77777777" w:rsidR="00030303" w:rsidRPr="009778A2" w:rsidRDefault="00030303" w:rsidP="00030303">
      <w:r w:rsidRPr="009778A2">
        <w:t>Some types of contract, such as employment contracts or contracts for disability services, are governed by legislation which modifies the common law to varying degrees.</w:t>
      </w:r>
      <w:r w:rsidRPr="009778A2">
        <w:rPr>
          <w:vertAlign w:val="superscript"/>
        </w:rPr>
        <w:footnoteReference w:id="3"/>
      </w:r>
      <w:r w:rsidRPr="009778A2">
        <w:rPr>
          <w:vertAlign w:val="superscript"/>
        </w:rPr>
        <w:t xml:space="preserve"> </w:t>
      </w:r>
      <w:r w:rsidRPr="009778A2">
        <w:t>Such legislation often provides mechanisms for complaints management and resolution through which remedy for breach of contract may be obtained.</w:t>
      </w:r>
      <w:r w:rsidRPr="009778A2">
        <w:rPr>
          <w:vertAlign w:val="superscript"/>
        </w:rPr>
        <w:footnoteReference w:id="4"/>
      </w:r>
    </w:p>
    <w:p w14:paraId="51BF589E" w14:textId="77777777" w:rsidR="00030303" w:rsidRPr="00295609" w:rsidRDefault="00030303" w:rsidP="00030303">
      <w:pPr>
        <w:pStyle w:val="Heading6"/>
      </w:pPr>
      <w:r w:rsidRPr="00295609">
        <w:t>Common law causes of action for disclosure of confidential or sensitive information</w:t>
      </w:r>
    </w:p>
    <w:p w14:paraId="34B7909F" w14:textId="77777777" w:rsidR="00030303" w:rsidRPr="009778A2" w:rsidRDefault="00030303" w:rsidP="00030303">
      <w:r w:rsidRPr="009778A2">
        <w:t>A person who engages with a commission of inquiry may provide sensitive on a confidential basis to assist the commission’s inquiry. The Commission may have powers to compel a person to provide this information.</w:t>
      </w:r>
      <w:r w:rsidRPr="009778A2">
        <w:rPr>
          <w:vertAlign w:val="superscript"/>
        </w:rPr>
        <w:footnoteReference w:id="5"/>
      </w:r>
      <w:r w:rsidRPr="009778A2">
        <w:t xml:space="preserve"> The person who provides this information may suffer detriment if the confidential information is divulged to another person or made public.</w:t>
      </w:r>
      <w:r w:rsidRPr="009778A2">
        <w:tab/>
      </w:r>
    </w:p>
    <w:p w14:paraId="0133FAD5" w14:textId="77777777" w:rsidR="00030303" w:rsidRPr="009778A2" w:rsidRDefault="00030303" w:rsidP="00030303">
      <w:r w:rsidRPr="009778A2">
        <w:t xml:space="preserve">There is no general common law remedy for breach of privacy in Australia. The tort of negligence </w:t>
      </w:r>
      <w:r>
        <w:t xml:space="preserve">may arise </w:t>
      </w:r>
      <w:r w:rsidRPr="009778A2">
        <w:t xml:space="preserve">in circumstances where the relationship between the parties establishes a duty of care. </w:t>
      </w:r>
    </w:p>
    <w:p w14:paraId="422A7367" w14:textId="77777777" w:rsidR="00030303" w:rsidRPr="009778A2" w:rsidRDefault="00030303" w:rsidP="00030303">
      <w:r>
        <w:t>The</w:t>
      </w:r>
      <w:r w:rsidRPr="009778A2">
        <w:t xml:space="preserve"> most helpful cause of action</w:t>
      </w:r>
      <w:r>
        <w:t xml:space="preserve"> in this scenario </w:t>
      </w:r>
      <w:r w:rsidRPr="009778A2">
        <w:t>might be an equitable action for breach of confidence.</w:t>
      </w:r>
    </w:p>
    <w:p w14:paraId="719A0ED5" w14:textId="77777777" w:rsidR="00030303" w:rsidRPr="00295609" w:rsidRDefault="00030303" w:rsidP="00030303">
      <w:pPr>
        <w:pStyle w:val="Heading6"/>
      </w:pPr>
      <w:r w:rsidRPr="00295609">
        <w:t>Breach of confidence</w:t>
      </w:r>
    </w:p>
    <w:p w14:paraId="3E37F392" w14:textId="77777777" w:rsidR="00030303" w:rsidRPr="009778A2" w:rsidRDefault="00030303" w:rsidP="00030303">
      <w:r w:rsidRPr="009778A2">
        <w:t>There are 3 elements to an action for breach of confidence:</w:t>
      </w:r>
    </w:p>
    <w:p w14:paraId="0387FAFD" w14:textId="77777777" w:rsidR="00030303" w:rsidRPr="009778A2" w:rsidRDefault="00030303" w:rsidP="00030303">
      <w:pPr>
        <w:pStyle w:val="ListParagraph"/>
        <w:numPr>
          <w:ilvl w:val="0"/>
          <w:numId w:val="7"/>
        </w:numPr>
        <w:spacing w:after="160" w:line="259" w:lineRule="auto"/>
      </w:pPr>
      <w:r w:rsidRPr="009778A2">
        <w:t xml:space="preserve">the information </w:t>
      </w:r>
      <w:r>
        <w:t>is</w:t>
      </w:r>
      <w:r w:rsidRPr="009778A2">
        <w:t xml:space="preserve"> confidential</w:t>
      </w:r>
    </w:p>
    <w:p w14:paraId="12B47250" w14:textId="77777777" w:rsidR="00030303" w:rsidRPr="009778A2" w:rsidRDefault="00030303" w:rsidP="00030303">
      <w:pPr>
        <w:pStyle w:val="ListParagraph"/>
        <w:numPr>
          <w:ilvl w:val="0"/>
          <w:numId w:val="7"/>
        </w:numPr>
        <w:spacing w:after="160" w:line="259" w:lineRule="auto"/>
      </w:pPr>
      <w:r w:rsidRPr="009778A2">
        <w:t>the information was imparted in circumstances importing an obligation of confidence, and</w:t>
      </w:r>
    </w:p>
    <w:p w14:paraId="2F921598" w14:textId="77777777" w:rsidR="00030303" w:rsidRPr="009778A2" w:rsidRDefault="00030303" w:rsidP="00030303">
      <w:pPr>
        <w:pStyle w:val="ListParagraph"/>
        <w:numPr>
          <w:ilvl w:val="0"/>
          <w:numId w:val="7"/>
        </w:numPr>
        <w:spacing w:after="160" w:line="259" w:lineRule="auto"/>
      </w:pPr>
      <w:r w:rsidRPr="009778A2">
        <w:t>there has been an unauthorised use of the information.</w:t>
      </w:r>
    </w:p>
    <w:p w14:paraId="12533A58" w14:textId="77777777" w:rsidR="00030303" w:rsidRPr="009778A2" w:rsidRDefault="00030303" w:rsidP="00030303">
      <w:r w:rsidRPr="009778A2">
        <w:lastRenderedPageBreak/>
        <w:t>The English House of Lords has recognised that an obligation of confidence could be enforced against a government body which a person has disclosed confidential information to if the government body has given an undertaking to treat the information as confidential.</w:t>
      </w:r>
      <w:r w:rsidRPr="009778A2">
        <w:rPr>
          <w:vertAlign w:val="superscript"/>
        </w:rPr>
        <w:footnoteReference w:id="6"/>
      </w:r>
      <w:r w:rsidRPr="009778A2">
        <w:t xml:space="preserve">  </w:t>
      </w:r>
    </w:p>
    <w:p w14:paraId="1DF1F872" w14:textId="77777777" w:rsidR="00030303" w:rsidRPr="009778A2" w:rsidRDefault="00030303" w:rsidP="00030303">
      <w:r w:rsidRPr="009778A2">
        <w:t>Where a contract of employment or a contract for services expressly or impliedly protects confidential information exchanged by the parties to the contract, it is unlikely that a court of equity will intervene to impose obligations of confidentiality which do not align with the terms of the contract. Obligations of confidence can be enforced in circumstances where a person discloses confidential information to a government body, but not if the government body has given no undertaking to treat the information as confidential.</w:t>
      </w:r>
      <w:r w:rsidRPr="009778A2">
        <w:rPr>
          <w:vertAlign w:val="superscript"/>
        </w:rPr>
        <w:footnoteReference w:id="7"/>
      </w:r>
    </w:p>
    <w:p w14:paraId="66D4E2E9" w14:textId="77777777" w:rsidR="00030303" w:rsidRPr="00295609" w:rsidRDefault="00030303" w:rsidP="00030303">
      <w:pPr>
        <w:pStyle w:val="Heading6"/>
      </w:pPr>
      <w:r w:rsidRPr="00295609">
        <w:t>Remedies for breach of confidence against Royal Commissions or commissions of inquiry.</w:t>
      </w:r>
    </w:p>
    <w:p w14:paraId="1011F903" w14:textId="77777777" w:rsidR="00030303" w:rsidRPr="009778A2" w:rsidRDefault="00030303" w:rsidP="00030303">
      <w:r w:rsidRPr="009778A2">
        <w:t>Courts of equity have an inherent jurisdiction to enforce obligations of confidence by preventing actual or threatened misuse of confidential information and, in certain cases, remedy detriment through the payment of equitable compensation.</w:t>
      </w:r>
    </w:p>
    <w:p w14:paraId="1C8A9EF1" w14:textId="77777777" w:rsidR="00030303" w:rsidRPr="009778A2" w:rsidRDefault="00030303" w:rsidP="00030303">
      <w:r w:rsidRPr="009778A2">
        <w:t>Generally, injunctions restraining the misuse of confidential information will be the appropriate remedy in these cases. Equitable monetary compensation (including for mental distress) could be awarded where an injunction would not be an effective remedy.</w:t>
      </w:r>
      <w:r w:rsidRPr="009778A2">
        <w:rPr>
          <w:vertAlign w:val="superscript"/>
        </w:rPr>
        <w:footnoteReference w:id="8"/>
      </w:r>
      <w:r w:rsidRPr="009778A2">
        <w:t xml:space="preserve"> Other common law remedies will generally not be available: Australian courts have rejected the availability of exemplary damages for breach of fiduciary duty and breach of confidence.</w:t>
      </w:r>
      <w:r w:rsidRPr="009778A2">
        <w:rPr>
          <w:vertAlign w:val="superscript"/>
        </w:rPr>
        <w:footnoteReference w:id="9"/>
      </w:r>
      <w:r w:rsidRPr="009778A2">
        <w:t xml:space="preserve"> Aggravated damages are unlikely to be available unless the defendant breached an obligation of confidence with a deliberate purpose of humiliating, embarrassing and distressing the plaintiff.</w:t>
      </w:r>
      <w:r w:rsidRPr="009778A2">
        <w:rPr>
          <w:vertAlign w:val="superscript"/>
        </w:rPr>
        <w:footnoteReference w:id="10"/>
      </w:r>
    </w:p>
    <w:p w14:paraId="0D003588" w14:textId="77777777" w:rsidR="00030303" w:rsidRPr="00295609" w:rsidRDefault="00030303" w:rsidP="00030303">
      <w:pPr>
        <w:pStyle w:val="Heading6"/>
      </w:pPr>
      <w:r w:rsidRPr="00295609">
        <w:t>Causes of action in tort</w:t>
      </w:r>
    </w:p>
    <w:p w14:paraId="5C125BCD" w14:textId="77777777" w:rsidR="00030303" w:rsidRPr="009778A2" w:rsidRDefault="00030303" w:rsidP="00030303">
      <w:r w:rsidRPr="009778A2">
        <w:t>As with remedies available in contract, remedies for detriment suffered for engagement with a commission of inquiry will be available where the facts of the case give rise to the cause of action. In tort the cause of action is not dependent upon the existence of a breached contract but rather that a person has committed an action, a tort, which the law recognises as a ‘wrong’ for which a person is entitled to a remedy. Where a person who has engaged with a commission of inquiry suffers a detriment which is recognised by the common law as a tort, the person will have a cause of action and remedy against the tortfeasor who committed the tort.</w:t>
      </w:r>
    </w:p>
    <w:p w14:paraId="4758A68E" w14:textId="77777777" w:rsidR="00030303" w:rsidRPr="009778A2" w:rsidRDefault="00030303" w:rsidP="00030303">
      <w:r w:rsidRPr="009778A2">
        <w:lastRenderedPageBreak/>
        <w:t xml:space="preserve">There are a number of torts which may be available to a person who suffers detriment or reprisal after engaging with a commission of inquiry. In the context of a detriment suffered by a person who engages with a commission of inquiry the torts can be divided between intentional and inadvertent or negligent torts. </w:t>
      </w:r>
    </w:p>
    <w:p w14:paraId="2EFA82AF" w14:textId="77777777" w:rsidR="00030303" w:rsidRPr="009778A2" w:rsidRDefault="00030303" w:rsidP="00030303">
      <w:r w:rsidRPr="009778A2">
        <w:t>Torts directed at harm suffered by a person directly:</w:t>
      </w:r>
    </w:p>
    <w:p w14:paraId="5B743908" w14:textId="77777777" w:rsidR="00030303" w:rsidRPr="009778A2" w:rsidRDefault="00030303" w:rsidP="00030303">
      <w:pPr>
        <w:numPr>
          <w:ilvl w:val="0"/>
          <w:numId w:val="8"/>
        </w:numPr>
      </w:pPr>
      <w:r w:rsidRPr="009778A2">
        <w:t>The three torts of trespass to the person: assault, battery and false imprisonment</w:t>
      </w:r>
    </w:p>
    <w:p w14:paraId="14BCD05C" w14:textId="77777777" w:rsidR="00030303" w:rsidRPr="009778A2" w:rsidRDefault="00030303" w:rsidP="00030303">
      <w:r w:rsidRPr="009778A2">
        <w:t>Torts directed at harm to economic interests:</w:t>
      </w:r>
    </w:p>
    <w:p w14:paraId="2A9214D7" w14:textId="77777777" w:rsidR="00030303" w:rsidRPr="009778A2" w:rsidRDefault="00030303" w:rsidP="00030303">
      <w:pPr>
        <w:numPr>
          <w:ilvl w:val="0"/>
          <w:numId w:val="8"/>
        </w:numPr>
        <w:spacing w:after="0"/>
      </w:pPr>
      <w:r w:rsidRPr="009778A2">
        <w:t>The tort of intentional inference with economic interests</w:t>
      </w:r>
    </w:p>
    <w:p w14:paraId="41365785" w14:textId="77777777" w:rsidR="00030303" w:rsidRPr="009778A2" w:rsidRDefault="00030303" w:rsidP="00030303">
      <w:pPr>
        <w:numPr>
          <w:ilvl w:val="0"/>
          <w:numId w:val="8"/>
        </w:numPr>
        <w:spacing w:after="0"/>
      </w:pPr>
      <w:r w:rsidRPr="009778A2">
        <w:t>The tort of conversion</w:t>
      </w:r>
    </w:p>
    <w:p w14:paraId="5CC853DE" w14:textId="77777777" w:rsidR="00030303" w:rsidRDefault="00030303" w:rsidP="00030303">
      <w:pPr>
        <w:numPr>
          <w:ilvl w:val="0"/>
          <w:numId w:val="8"/>
        </w:numPr>
        <w:spacing w:after="0"/>
      </w:pPr>
      <w:r w:rsidRPr="009778A2">
        <w:t>The tort of trespass to goods</w:t>
      </w:r>
    </w:p>
    <w:p w14:paraId="0C466197" w14:textId="77777777" w:rsidR="00030303" w:rsidRPr="009778A2" w:rsidRDefault="00030303" w:rsidP="00030303">
      <w:pPr>
        <w:spacing w:after="0"/>
        <w:ind w:left="720"/>
      </w:pPr>
    </w:p>
    <w:p w14:paraId="031A8D97" w14:textId="77777777" w:rsidR="00030303" w:rsidRPr="009778A2" w:rsidRDefault="00030303" w:rsidP="00030303">
      <w:r w:rsidRPr="009778A2">
        <w:t>Torts directed at more general harm:</w:t>
      </w:r>
    </w:p>
    <w:p w14:paraId="2CB68205" w14:textId="77777777" w:rsidR="00030303" w:rsidRPr="009778A2" w:rsidRDefault="00030303" w:rsidP="00030303">
      <w:pPr>
        <w:numPr>
          <w:ilvl w:val="0"/>
          <w:numId w:val="8"/>
        </w:numPr>
        <w:spacing w:after="0"/>
      </w:pPr>
      <w:r w:rsidRPr="009778A2">
        <w:t>The tort of Nuisance</w:t>
      </w:r>
    </w:p>
    <w:p w14:paraId="70A6BB14" w14:textId="77777777" w:rsidR="00030303" w:rsidRPr="009778A2" w:rsidRDefault="00030303" w:rsidP="00030303">
      <w:pPr>
        <w:numPr>
          <w:ilvl w:val="0"/>
          <w:numId w:val="8"/>
        </w:numPr>
        <w:spacing w:after="0"/>
      </w:pPr>
      <w:r w:rsidRPr="009778A2">
        <w:t>The tort of Intimidation</w:t>
      </w:r>
    </w:p>
    <w:p w14:paraId="4763E720" w14:textId="77777777" w:rsidR="00030303" w:rsidRPr="009778A2" w:rsidRDefault="00030303" w:rsidP="00030303">
      <w:pPr>
        <w:numPr>
          <w:ilvl w:val="0"/>
          <w:numId w:val="8"/>
        </w:numPr>
        <w:spacing w:after="0"/>
      </w:pPr>
      <w:r w:rsidRPr="009778A2">
        <w:t>The tort of Malicious prosecution</w:t>
      </w:r>
    </w:p>
    <w:p w14:paraId="5EA69003" w14:textId="77777777" w:rsidR="00030303" w:rsidRPr="009778A2" w:rsidRDefault="00030303" w:rsidP="00030303">
      <w:pPr>
        <w:numPr>
          <w:ilvl w:val="0"/>
          <w:numId w:val="8"/>
        </w:numPr>
        <w:spacing w:after="0"/>
      </w:pPr>
      <w:r w:rsidRPr="009778A2">
        <w:t>The tort of Misfeasance in public office</w:t>
      </w:r>
    </w:p>
    <w:p w14:paraId="36EFB7AE" w14:textId="77777777" w:rsidR="00030303" w:rsidRPr="009778A2" w:rsidRDefault="00030303" w:rsidP="00030303">
      <w:pPr>
        <w:numPr>
          <w:ilvl w:val="0"/>
          <w:numId w:val="8"/>
        </w:numPr>
      </w:pPr>
      <w:r w:rsidRPr="009778A2">
        <w:t>The tort of Defamation</w:t>
      </w:r>
    </w:p>
    <w:p w14:paraId="256659F7" w14:textId="77777777" w:rsidR="00030303" w:rsidRPr="009778A2" w:rsidRDefault="00030303" w:rsidP="00030303">
      <w:r w:rsidRPr="009778A2">
        <w:t>Relevant torts which may be available for inadvertent detriment suffered by someone who has engaged with a commission of inquiry, for example inadvertently divulging a person’s confidential information, could be:</w:t>
      </w:r>
    </w:p>
    <w:p w14:paraId="629624B5" w14:textId="77777777" w:rsidR="00030303" w:rsidRPr="009778A2" w:rsidRDefault="00030303" w:rsidP="00030303">
      <w:pPr>
        <w:numPr>
          <w:ilvl w:val="0"/>
          <w:numId w:val="9"/>
        </w:numPr>
        <w:spacing w:after="0"/>
      </w:pPr>
      <w:r w:rsidRPr="009778A2">
        <w:t>The tort of Negligence</w:t>
      </w:r>
    </w:p>
    <w:p w14:paraId="350B14A3" w14:textId="77777777" w:rsidR="00030303" w:rsidRDefault="00030303" w:rsidP="00030303">
      <w:pPr>
        <w:numPr>
          <w:ilvl w:val="0"/>
          <w:numId w:val="9"/>
        </w:numPr>
        <w:spacing w:after="0"/>
      </w:pPr>
      <w:r w:rsidRPr="009778A2">
        <w:t>The tort of Defamation</w:t>
      </w:r>
    </w:p>
    <w:p w14:paraId="052385BD" w14:textId="77777777" w:rsidR="00030303" w:rsidRPr="009778A2" w:rsidRDefault="00030303" w:rsidP="00030303">
      <w:pPr>
        <w:spacing w:after="0"/>
        <w:ind w:left="720"/>
      </w:pPr>
    </w:p>
    <w:p w14:paraId="3ECE52F1" w14:textId="77777777" w:rsidR="00030303" w:rsidRPr="009778A2" w:rsidRDefault="00030303" w:rsidP="00030303">
      <w:r w:rsidRPr="009778A2">
        <w:t>The torts listed above are not exhaustive</w:t>
      </w:r>
      <w:r>
        <w:t xml:space="preserve">. </w:t>
      </w:r>
      <w:r w:rsidRPr="009778A2">
        <w:t>Because the ways in which a person can suffer detriment are not easily confined, it is accordingly not helpful to strictly confine the list of torts which may be available to a person who has suffered detriment. Ultimately, whether a cause of action is available depends on the facts of each case.</w:t>
      </w:r>
    </w:p>
    <w:p w14:paraId="0C50B2A2" w14:textId="77777777" w:rsidR="00030303" w:rsidRPr="00295609" w:rsidRDefault="00030303" w:rsidP="00030303">
      <w:pPr>
        <w:pStyle w:val="Heading6"/>
      </w:pPr>
      <w:r w:rsidRPr="00295609">
        <w:lastRenderedPageBreak/>
        <w:t>Remedies for tort</w:t>
      </w:r>
    </w:p>
    <w:p w14:paraId="0EE1A47B" w14:textId="77777777" w:rsidR="00030303" w:rsidRPr="009778A2" w:rsidRDefault="00030303" w:rsidP="00030303">
      <w:r w:rsidRPr="009778A2">
        <w:t xml:space="preserve">The remedy for a successful claim in tort is damages. The fundamental principle is that of </w:t>
      </w:r>
      <w:r w:rsidRPr="009778A2">
        <w:rPr>
          <w:i/>
        </w:rPr>
        <w:t>restitutio in integrum</w:t>
      </w:r>
      <w:r w:rsidRPr="009778A2">
        <w:t>, meaning that damages should be assessed so that they represent no more and no less than a plaintiff’s actual loss.</w:t>
      </w:r>
      <w:r w:rsidRPr="009778A2">
        <w:rPr>
          <w:vertAlign w:val="superscript"/>
        </w:rPr>
        <w:footnoteReference w:id="11"/>
      </w:r>
    </w:p>
    <w:p w14:paraId="016FBBEF" w14:textId="77777777" w:rsidR="00030303" w:rsidRPr="009778A2" w:rsidRDefault="00030303" w:rsidP="00030303">
      <w:r w:rsidRPr="009778A2">
        <w:t>Damages for tort can have economic and non-economic dimensions. Non-economic damages are to compensate for pain, disability, loss of enjoyment of life, disfigurement or loss of expectation of life. In personal injury matters, it has been recognised that in most cases it is not possible to measure accurately that part of the award that deals with non-economic loss so as to restore a plaintiff to the health enjoyed pre-injury. The principle has been qualified by the term ‘so far as money can do so’.</w:t>
      </w:r>
      <w:r w:rsidRPr="009778A2">
        <w:rPr>
          <w:vertAlign w:val="superscript"/>
        </w:rPr>
        <w:footnoteReference w:id="12"/>
      </w:r>
    </w:p>
    <w:p w14:paraId="36896A9C" w14:textId="77777777" w:rsidR="00030303" w:rsidRPr="009778A2" w:rsidRDefault="00030303" w:rsidP="00030303">
      <w:r w:rsidRPr="009778A2">
        <w:t xml:space="preserve">The economic loss a person may be able to be compensated for are the out-of-pocket expenses a person has suffered or will suffer to place them in the position they would be in but for the damage due to the actions of a defendant. This damage may be medical expenses, procuring additional or replacement services, or purchase of additional or replacement property. </w:t>
      </w:r>
    </w:p>
    <w:p w14:paraId="50CBB1A6" w14:textId="77777777" w:rsidR="00030303" w:rsidRPr="009778A2" w:rsidRDefault="00030303" w:rsidP="00030303">
      <w:r w:rsidRPr="009778A2">
        <w:t>The onus is on the plaintiff to prove the injury or loss for which the amount of damages is sought.</w:t>
      </w:r>
      <w:r w:rsidRPr="009778A2">
        <w:rPr>
          <w:vertAlign w:val="superscript"/>
        </w:rPr>
        <w:footnoteReference w:id="13"/>
      </w:r>
    </w:p>
    <w:p w14:paraId="316AFD7B" w14:textId="77777777" w:rsidR="00030303" w:rsidRPr="00295609" w:rsidRDefault="00030303" w:rsidP="00030303">
      <w:pPr>
        <w:pStyle w:val="Heading6"/>
      </w:pPr>
      <w:bookmarkStart w:id="2" w:name="d5e32826"/>
      <w:bookmarkEnd w:id="2"/>
      <w:r w:rsidRPr="00295609">
        <w:t>Punitive damages</w:t>
      </w:r>
    </w:p>
    <w:p w14:paraId="708B18CB" w14:textId="77777777" w:rsidR="00030303" w:rsidRPr="009778A2" w:rsidRDefault="00030303" w:rsidP="00030303">
      <w:bookmarkStart w:id="3" w:name="d5e36629"/>
      <w:bookmarkStart w:id="4" w:name="d5e36632"/>
      <w:bookmarkStart w:id="5" w:name="d5e36636"/>
      <w:bookmarkStart w:id="6" w:name="d5e36640"/>
      <w:bookmarkStart w:id="7" w:name="d5e36643"/>
      <w:bookmarkEnd w:id="3"/>
      <w:bookmarkEnd w:id="4"/>
      <w:bookmarkEnd w:id="5"/>
      <w:bookmarkEnd w:id="6"/>
      <w:bookmarkEnd w:id="7"/>
      <w:r w:rsidRPr="009778A2">
        <w:t>A court may also order punitive damages in an appropriate case. Punitive damages take the form of either aggravated or exemplary damages. Aggravated damages serve an additional compensatory purpose for the plaintiff and the exemplary damages have a punitive and deterrent nature by reference to the conduct of the defendant.</w:t>
      </w:r>
      <w:r w:rsidRPr="009778A2">
        <w:rPr>
          <w:vertAlign w:val="superscript"/>
        </w:rPr>
        <w:footnoteReference w:id="14"/>
      </w:r>
    </w:p>
    <w:p w14:paraId="23431E08" w14:textId="77777777" w:rsidR="00030303" w:rsidRPr="009778A2" w:rsidRDefault="00030303" w:rsidP="00030303">
      <w:r w:rsidRPr="009778A2">
        <w:t>The award of damages under these heads is discretionary but must bear some proportion to the circumstances to which it relates.</w:t>
      </w:r>
      <w:r w:rsidRPr="009778A2">
        <w:rPr>
          <w:vertAlign w:val="superscript"/>
        </w:rPr>
        <w:footnoteReference w:id="15"/>
      </w:r>
    </w:p>
    <w:p w14:paraId="60E3DD2A" w14:textId="77777777" w:rsidR="00030303" w:rsidRPr="009778A2" w:rsidRDefault="00030303" w:rsidP="00030303">
      <w:r w:rsidRPr="009778A2">
        <w:t>Both aggravated and exemplary damages can be awarded in an appropriate case.</w:t>
      </w:r>
    </w:p>
    <w:p w14:paraId="20A8804F" w14:textId="77777777" w:rsidR="00030303" w:rsidRPr="00295609" w:rsidRDefault="00030303" w:rsidP="00030303">
      <w:pPr>
        <w:pStyle w:val="Heading6"/>
      </w:pPr>
      <w:bookmarkStart w:id="8" w:name="d5e36691"/>
      <w:bookmarkEnd w:id="8"/>
      <w:r w:rsidRPr="00295609">
        <w:lastRenderedPageBreak/>
        <w:t>Aggravated damages</w:t>
      </w:r>
    </w:p>
    <w:p w14:paraId="7B4F0753" w14:textId="77777777" w:rsidR="00030303" w:rsidRPr="009778A2" w:rsidRDefault="00030303" w:rsidP="00030303">
      <w:r w:rsidRPr="009778A2">
        <w:t>Aggravated damages may be awarded where a plaintiff suffers increased distress as a result of the way in which a defendant behaves at the time they committed the tort or thereafter to increase the plaintiff’s suffering. The necessary conduct has been described as insulting or reprehensible or capable of causing the plaintiff to suffer indignity or outrage to his or her feelings.</w:t>
      </w:r>
      <w:r w:rsidRPr="009778A2">
        <w:rPr>
          <w:vertAlign w:val="superscript"/>
        </w:rPr>
        <w:footnoteReference w:id="16"/>
      </w:r>
    </w:p>
    <w:p w14:paraId="21D8F6F0" w14:textId="77777777" w:rsidR="00030303" w:rsidRPr="009778A2" w:rsidRDefault="00030303" w:rsidP="00030303">
      <w:r w:rsidRPr="009778A2">
        <w:t>Where a plaintiff who has engaged with a commission of inquiry has suffered additional distress due to the actions of a defendant, for example where additional distress is suffered due to wilful and egregious denial of care services, a court may be willing to entertain a claim for aggravated damages.</w:t>
      </w:r>
    </w:p>
    <w:p w14:paraId="1B860B5D" w14:textId="77777777" w:rsidR="00030303" w:rsidRPr="00295609" w:rsidRDefault="00030303" w:rsidP="00030303">
      <w:pPr>
        <w:pStyle w:val="Heading6"/>
      </w:pPr>
      <w:bookmarkStart w:id="9" w:name="d5e36719"/>
      <w:bookmarkEnd w:id="9"/>
      <w:r w:rsidRPr="00295609">
        <w:t>Exemplary damages</w:t>
      </w:r>
    </w:p>
    <w:p w14:paraId="006EAEC7" w14:textId="77777777" w:rsidR="00030303" w:rsidRPr="009778A2" w:rsidRDefault="00030303" w:rsidP="00030303">
      <w:r w:rsidRPr="009778A2">
        <w:t>Exemplary damages are awarded by a court to mark their disapproval of a defendant’s conduct and deter similar conduct in the future.</w:t>
      </w:r>
    </w:p>
    <w:p w14:paraId="3133C06A" w14:textId="77777777" w:rsidR="00030303" w:rsidRPr="009778A2" w:rsidRDefault="00030303" w:rsidP="00030303">
      <w:r w:rsidRPr="009778A2">
        <w:t xml:space="preserve">The conduct can be expressed as ‘conscious wrongdoing in contumelious disregard of another’s </w:t>
      </w:r>
      <w:proofErr w:type="gramStart"/>
      <w:r w:rsidRPr="009778A2">
        <w:t>rights’</w:t>
      </w:r>
      <w:proofErr w:type="gramEnd"/>
      <w:r w:rsidRPr="009778A2">
        <w:t>.</w:t>
      </w:r>
      <w:r w:rsidRPr="009778A2">
        <w:rPr>
          <w:vertAlign w:val="superscript"/>
        </w:rPr>
        <w:footnoteReference w:id="17"/>
      </w:r>
      <w:r w:rsidRPr="009778A2">
        <w:t xml:space="preserve"> The award of exemplary damages is accordingly rare in actions for negligent conduct.</w:t>
      </w:r>
      <w:r w:rsidRPr="009778A2">
        <w:rPr>
          <w:vertAlign w:val="superscript"/>
        </w:rPr>
        <w:footnoteReference w:id="18"/>
      </w:r>
      <w:r w:rsidRPr="009778A2">
        <w:t xml:space="preserve"> Relevant wrongdoing may include elements of malice, abuse of power or violence and must be based on something more than the court’s mere disapproval of conduct.</w:t>
      </w:r>
      <w:r w:rsidRPr="009778A2">
        <w:rPr>
          <w:vertAlign w:val="superscript"/>
        </w:rPr>
        <w:footnoteReference w:id="19"/>
      </w:r>
      <w:r w:rsidRPr="009778A2">
        <w:t xml:space="preserve"> Exemplary damages have been awarded to discourage arbitrary exercise of executive power.</w:t>
      </w:r>
      <w:r w:rsidRPr="009778A2">
        <w:rPr>
          <w:vertAlign w:val="superscript"/>
        </w:rPr>
        <w:footnoteReference w:id="20"/>
      </w:r>
    </w:p>
    <w:p w14:paraId="29697E39" w14:textId="77777777" w:rsidR="00030303" w:rsidRPr="009778A2" w:rsidRDefault="00030303" w:rsidP="00030303">
      <w:r w:rsidRPr="009778A2">
        <w:t>In the case where an entity commits a deliberate tort maliciously against a person in reprisal for that person’s engagement with a commission of inquiry, may be an appropriate time when a court would be minded to make an award of exemplary damages.</w:t>
      </w:r>
    </w:p>
    <w:p w14:paraId="4F1C1C46" w14:textId="77777777" w:rsidR="00030303" w:rsidRPr="00295609" w:rsidRDefault="00030303" w:rsidP="00030303">
      <w:pPr>
        <w:pStyle w:val="Heading6"/>
      </w:pPr>
      <w:r w:rsidRPr="00295609">
        <w:t>Equitable remedies</w:t>
      </w:r>
    </w:p>
    <w:p w14:paraId="0475772C" w14:textId="77777777" w:rsidR="00030303" w:rsidRPr="009778A2" w:rsidRDefault="00030303" w:rsidP="00030303">
      <w:r w:rsidRPr="009778A2">
        <w:t xml:space="preserve">Where monetary damages for loss suffered are not sufficient, the Court has </w:t>
      </w:r>
      <w:r>
        <w:t>discretion</w:t>
      </w:r>
      <w:r w:rsidRPr="009778A2">
        <w:t xml:space="preserve"> to order an equitable remedy. </w:t>
      </w:r>
    </w:p>
    <w:p w14:paraId="29698497" w14:textId="77777777" w:rsidR="00030303" w:rsidRPr="00295609" w:rsidRDefault="00030303" w:rsidP="00030303">
      <w:pPr>
        <w:pStyle w:val="Heading6"/>
      </w:pPr>
      <w:r w:rsidRPr="00295609">
        <w:lastRenderedPageBreak/>
        <w:t>Injunctions</w:t>
      </w:r>
    </w:p>
    <w:p w14:paraId="501051C6" w14:textId="77777777" w:rsidR="00030303" w:rsidRPr="009778A2" w:rsidRDefault="00030303" w:rsidP="00030303">
      <w:r w:rsidRPr="009778A2">
        <w:t>It is clear that the causes of action in tort identified in this Part above are directed at specific identified harm which a person may have suffered. The causes of action do not generally offer protection from future harm, but rather compensation for harm already incurred. However</w:t>
      </w:r>
      <w:r>
        <w:t>,</w:t>
      </w:r>
      <w:r w:rsidRPr="009778A2">
        <w:t xml:space="preserve"> in certain circumstances, where other remedies are inadequate and the harm is likely to continue, the Court may be minded to grant an injunction. </w:t>
      </w:r>
    </w:p>
    <w:p w14:paraId="1D1DE642" w14:textId="77777777" w:rsidR="00030303" w:rsidRPr="009778A2" w:rsidRDefault="00030303" w:rsidP="00030303">
      <w:r w:rsidRPr="009778A2">
        <w:t xml:space="preserve">Injunctions come in two forms, a mandatory injunction requiring a certain act to take place, or a </w:t>
      </w:r>
      <w:proofErr w:type="spellStart"/>
      <w:r w:rsidRPr="009778A2">
        <w:t>prohibitory</w:t>
      </w:r>
      <w:proofErr w:type="spellEnd"/>
      <w:r w:rsidRPr="009778A2">
        <w:t xml:space="preserve"> injunction to prevent an action from continuing. </w:t>
      </w:r>
    </w:p>
    <w:p w14:paraId="1F1736D7" w14:textId="77777777" w:rsidR="00030303" w:rsidRPr="00295609" w:rsidRDefault="00030303" w:rsidP="00030303">
      <w:pPr>
        <w:pStyle w:val="Heading6"/>
      </w:pPr>
      <w:r w:rsidRPr="00295609">
        <w:t>Restitution</w:t>
      </w:r>
    </w:p>
    <w:p w14:paraId="589F86CF" w14:textId="77777777" w:rsidR="00030303" w:rsidRPr="009778A2" w:rsidRDefault="00030303" w:rsidP="00030303">
      <w:r w:rsidRPr="009778A2">
        <w:t xml:space="preserve">Restitution is not truly a remedy for a tort but rather a separate cause of action in equity. A plaintiff may have a choice to sue both in tort and to bring an action in restitution from the same facts. Restitution can be sued in as an alternative to a tort and will provide an alternative remedy where the defendant has profited from their tortious acts. In such a case the plaintiff will either receive the value of the tortious act to the defendant in restitution, or the plaintiff will be awarded the damage occasioned to the plaintiff by the defendant’s tortious act in tort.  </w:t>
      </w:r>
    </w:p>
    <w:p w14:paraId="7B038F95" w14:textId="77777777" w:rsidR="00030303" w:rsidRPr="009778A2" w:rsidRDefault="00030303" w:rsidP="00030303">
      <w:r w:rsidRPr="009778A2">
        <w:t>As a cause of action and remedy for a detriment suffered by a person for their engagement with a commission of inquiry, restitution may only rarely be relevant</w:t>
      </w:r>
      <w:r w:rsidRPr="00FC0527">
        <w:t>.</w:t>
      </w:r>
    </w:p>
    <w:p w14:paraId="52A845E8" w14:textId="77777777" w:rsidR="00030303" w:rsidRDefault="00030303" w:rsidP="00030303">
      <w:pPr>
        <w:rPr>
          <w:b/>
        </w:rPr>
      </w:pPr>
    </w:p>
    <w:p w14:paraId="1C8EBC03" w14:textId="77777777" w:rsidR="00030303" w:rsidRDefault="00030303" w:rsidP="00030303"/>
    <w:p w14:paraId="68EB6A77" w14:textId="658ABCC9" w:rsidR="00030303" w:rsidRDefault="00030303">
      <w:pPr>
        <w:spacing w:after="160" w:line="259" w:lineRule="auto"/>
      </w:pPr>
      <w:r>
        <w:br w:type="page"/>
      </w:r>
    </w:p>
    <w:p w14:paraId="2D0F7F93" w14:textId="77777777" w:rsidR="00030303" w:rsidRPr="0095643D" w:rsidRDefault="00030303" w:rsidP="00030303">
      <w:pPr>
        <w:pStyle w:val="Heading1"/>
        <w:tabs>
          <w:tab w:val="clear" w:pos="850"/>
          <w:tab w:val="num" w:pos="0"/>
        </w:tabs>
        <w:ind w:left="0" w:firstLine="0"/>
        <w:rPr>
          <w:sz w:val="36"/>
          <w:szCs w:val="36"/>
          <w:lang w:eastAsia="en-AU"/>
        </w:rPr>
      </w:pPr>
      <w:r w:rsidRPr="0095643D">
        <w:rPr>
          <w:sz w:val="36"/>
          <w:szCs w:val="36"/>
          <w:lang w:eastAsia="en-AU"/>
        </w:rPr>
        <w:lastRenderedPageBreak/>
        <w:t xml:space="preserve">Appendix </w:t>
      </w:r>
      <w:r>
        <w:rPr>
          <w:sz w:val="36"/>
          <w:szCs w:val="36"/>
          <w:lang w:eastAsia="en-AU"/>
        </w:rPr>
        <w:t>C</w:t>
      </w:r>
      <w:r w:rsidRPr="0095643D">
        <w:rPr>
          <w:sz w:val="36"/>
          <w:szCs w:val="36"/>
          <w:lang w:eastAsia="en-AU"/>
        </w:rPr>
        <w:t>: Comparison of royal commission and commission of inquiry legislation across jurisdictions</w:t>
      </w:r>
    </w:p>
    <w:p w14:paraId="469DF448" w14:textId="77777777" w:rsidR="00030303" w:rsidRPr="005C473C" w:rsidRDefault="00030303" w:rsidP="005C473C">
      <w:pPr>
        <w:rPr>
          <w:b/>
        </w:rPr>
      </w:pPr>
      <w:r w:rsidRPr="005C473C">
        <w:rPr>
          <w:b/>
        </w:rPr>
        <w:t>Protection of identities and information</w:t>
      </w:r>
    </w:p>
    <w:p w14:paraId="34B14BBE" w14:textId="77777777" w:rsidR="00030303" w:rsidRDefault="00030303" w:rsidP="00030303">
      <w:r>
        <w:t>This table (referenced in section 2.2 of the report) compares provisions for the protection of identities and information in the Commonwealth Royal Commissions Act with equivalent provisions contained in state and territory legislation.</w:t>
      </w:r>
    </w:p>
    <w:p w14:paraId="10B38CD8" w14:textId="77777777" w:rsidR="00030303" w:rsidRDefault="00030303" w:rsidP="00030303">
      <w:r>
        <w:t xml:space="preserve">As indicated in the report, </w:t>
      </w:r>
      <w:r w:rsidRPr="00666E63">
        <w:rPr>
          <w:rFonts w:asciiTheme="minorHAnsi" w:eastAsia="Times New Roman" w:hAnsiTheme="minorHAnsi" w:cstheme="minorHAnsi"/>
          <w:w w:val="100"/>
          <w:kern w:val="0"/>
          <w:lang w:eastAsia="en-AU"/>
        </w:rPr>
        <w:t xml:space="preserve">the provisions included in the Commonwealth Act </w:t>
      </w:r>
      <w:r>
        <w:rPr>
          <w:rFonts w:asciiTheme="minorHAnsi" w:eastAsia="Times New Roman" w:hAnsiTheme="minorHAnsi" w:cstheme="minorHAnsi"/>
          <w:w w:val="100"/>
          <w:kern w:val="0"/>
          <w:lang w:eastAsia="en-AU"/>
        </w:rPr>
        <w:t xml:space="preserve">for protecting identities and information </w:t>
      </w:r>
      <w:r w:rsidRPr="00666E63">
        <w:rPr>
          <w:rFonts w:asciiTheme="minorHAnsi" w:eastAsia="Times New Roman" w:hAnsiTheme="minorHAnsi" w:cstheme="minorHAnsi"/>
          <w:w w:val="100"/>
          <w:kern w:val="0"/>
          <w:lang w:eastAsia="en-AU"/>
        </w:rPr>
        <w:t>are as broad as those included in the equivalent State and Territory legislation.</w:t>
      </w:r>
    </w:p>
    <w:tbl>
      <w:tblPr>
        <w:tblStyle w:val="TableGrid2"/>
        <w:tblW w:w="4900" w:type="pct"/>
        <w:tblInd w:w="0"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178"/>
        <w:gridCol w:w="1508"/>
        <w:gridCol w:w="1318"/>
        <w:gridCol w:w="1507"/>
        <w:gridCol w:w="1317"/>
        <w:gridCol w:w="1317"/>
        <w:gridCol w:w="1507"/>
        <w:gridCol w:w="1553"/>
        <w:gridCol w:w="1507"/>
        <w:gridCol w:w="1238"/>
      </w:tblGrid>
      <w:tr w:rsidR="00030303" w:rsidRPr="00DB2B77" w14:paraId="286D6623" w14:textId="77777777" w:rsidTr="00030303">
        <w:trPr>
          <w:tblHeader/>
        </w:trPr>
        <w:tc>
          <w:tcPr>
            <w:tcW w:w="467" w:type="pct"/>
            <w:tcBorders>
              <w:top w:val="single" w:sz="4" w:space="0" w:color="auto"/>
              <w:left w:val="single" w:sz="4" w:space="0" w:color="auto"/>
              <w:bottom w:val="single" w:sz="4" w:space="0" w:color="auto"/>
              <w:right w:val="nil"/>
            </w:tcBorders>
            <w:shd w:val="clear" w:color="auto" w:fill="D9D9D9"/>
            <w:vAlign w:val="top"/>
            <w:hideMark/>
          </w:tcPr>
          <w:p w14:paraId="532F059F" w14:textId="77777777" w:rsidR="00030303" w:rsidRPr="00DB2B77" w:rsidRDefault="00030303" w:rsidP="00030303">
            <w:pPr>
              <w:keepLines/>
              <w:widowControl w:val="0"/>
              <w:spacing w:before="60" w:after="0" w:line="240" w:lineRule="atLeast"/>
              <w:rPr>
                <w:rFonts w:asciiTheme="minorHAnsi" w:eastAsia="Times New Roman" w:hAnsiTheme="minorHAnsi" w:cstheme="minorHAnsi"/>
                <w:b/>
                <w:w w:val="100"/>
                <w:kern w:val="0"/>
                <w:sz w:val="19"/>
                <w:szCs w:val="19"/>
                <w:lang w:eastAsia="en-AU"/>
              </w:rPr>
            </w:pPr>
            <w:r w:rsidRPr="00DB2B77">
              <w:rPr>
                <w:rFonts w:asciiTheme="minorHAnsi" w:eastAsia="Times New Roman" w:hAnsiTheme="minorHAnsi" w:cstheme="minorHAnsi"/>
                <w:b/>
                <w:w w:val="100"/>
                <w:kern w:val="0"/>
                <w:sz w:val="19"/>
                <w:szCs w:val="19"/>
                <w:lang w:eastAsia="en-AU"/>
              </w:rPr>
              <w:t>Topic</w:t>
            </w:r>
          </w:p>
        </w:tc>
        <w:tc>
          <w:tcPr>
            <w:tcW w:w="503" w:type="pct"/>
            <w:tcBorders>
              <w:top w:val="single" w:sz="4" w:space="0" w:color="auto"/>
              <w:left w:val="nil"/>
              <w:bottom w:val="single" w:sz="4" w:space="0" w:color="auto"/>
              <w:right w:val="nil"/>
            </w:tcBorders>
            <w:shd w:val="clear" w:color="auto" w:fill="D9D9D9"/>
            <w:vAlign w:val="top"/>
            <w:hideMark/>
          </w:tcPr>
          <w:p w14:paraId="4DF785B8" w14:textId="77777777" w:rsidR="00030303" w:rsidRPr="00DB2B77" w:rsidRDefault="00030303" w:rsidP="00030303">
            <w:pPr>
              <w:keepLines/>
              <w:widowControl w:val="0"/>
              <w:spacing w:before="60" w:after="0" w:line="240" w:lineRule="atLeast"/>
              <w:rPr>
                <w:rFonts w:asciiTheme="minorHAnsi" w:eastAsia="Times New Roman" w:hAnsiTheme="minorHAnsi" w:cstheme="minorHAnsi"/>
                <w:b/>
                <w:w w:val="100"/>
                <w:kern w:val="0"/>
                <w:sz w:val="19"/>
                <w:szCs w:val="19"/>
                <w:lang w:eastAsia="en-AU"/>
              </w:rPr>
            </w:pPr>
            <w:r w:rsidRPr="00DB2B77">
              <w:rPr>
                <w:rFonts w:asciiTheme="minorHAnsi" w:eastAsia="Times New Roman" w:hAnsiTheme="minorHAnsi" w:cstheme="minorHAnsi"/>
                <w:b/>
                <w:i/>
                <w:w w:val="100"/>
                <w:kern w:val="0"/>
                <w:sz w:val="19"/>
                <w:szCs w:val="19"/>
                <w:lang w:eastAsia="en-AU"/>
              </w:rPr>
              <w:t>Royal Commissions Act 1902</w:t>
            </w:r>
            <w:r w:rsidRPr="00DB2B77">
              <w:rPr>
                <w:rFonts w:asciiTheme="minorHAnsi" w:eastAsia="Times New Roman" w:hAnsiTheme="minorHAnsi" w:cstheme="minorHAnsi"/>
                <w:b/>
                <w:w w:val="100"/>
                <w:kern w:val="0"/>
                <w:sz w:val="19"/>
                <w:szCs w:val="19"/>
                <w:lang w:eastAsia="en-AU"/>
              </w:rPr>
              <w:t xml:space="preserve"> (</w:t>
            </w:r>
            <w:proofErr w:type="spellStart"/>
            <w:r w:rsidRPr="00DB2B77">
              <w:rPr>
                <w:rFonts w:asciiTheme="minorHAnsi" w:eastAsia="Times New Roman" w:hAnsiTheme="minorHAnsi" w:cstheme="minorHAnsi"/>
                <w:b/>
                <w:w w:val="100"/>
                <w:kern w:val="0"/>
                <w:sz w:val="19"/>
                <w:szCs w:val="19"/>
                <w:lang w:eastAsia="en-AU"/>
              </w:rPr>
              <w:t>Cth</w:t>
            </w:r>
            <w:proofErr w:type="spellEnd"/>
            <w:r w:rsidRPr="00DB2B77">
              <w:rPr>
                <w:rFonts w:asciiTheme="minorHAnsi" w:eastAsia="Times New Roman" w:hAnsiTheme="minorHAnsi" w:cstheme="minorHAnsi"/>
                <w:b/>
                <w:w w:val="100"/>
                <w:kern w:val="0"/>
                <w:sz w:val="19"/>
                <w:szCs w:val="19"/>
                <w:lang w:eastAsia="en-AU"/>
              </w:rPr>
              <w:t>)</w:t>
            </w:r>
          </w:p>
        </w:tc>
        <w:tc>
          <w:tcPr>
            <w:tcW w:w="504" w:type="pct"/>
            <w:tcBorders>
              <w:top w:val="single" w:sz="4" w:space="0" w:color="auto"/>
              <w:left w:val="nil"/>
              <w:bottom w:val="single" w:sz="4" w:space="0" w:color="auto"/>
              <w:right w:val="nil"/>
            </w:tcBorders>
            <w:shd w:val="clear" w:color="auto" w:fill="D9D9D9"/>
            <w:vAlign w:val="top"/>
            <w:hideMark/>
          </w:tcPr>
          <w:p w14:paraId="2BD1BF55" w14:textId="77777777" w:rsidR="00030303" w:rsidRPr="00DB2B77" w:rsidRDefault="00030303" w:rsidP="00030303">
            <w:pPr>
              <w:keepLines/>
              <w:widowControl w:val="0"/>
              <w:spacing w:before="60" w:after="0" w:line="240" w:lineRule="atLeast"/>
              <w:rPr>
                <w:rFonts w:asciiTheme="minorHAnsi" w:eastAsia="Times New Roman" w:hAnsiTheme="minorHAnsi" w:cstheme="minorHAnsi"/>
                <w:b/>
                <w:i/>
                <w:w w:val="100"/>
                <w:kern w:val="0"/>
                <w:sz w:val="19"/>
                <w:szCs w:val="19"/>
                <w:lang w:eastAsia="en-AU"/>
              </w:rPr>
            </w:pPr>
            <w:r w:rsidRPr="00DB2B77">
              <w:rPr>
                <w:rFonts w:asciiTheme="minorHAnsi" w:eastAsia="Times New Roman" w:hAnsiTheme="minorHAnsi" w:cstheme="minorHAnsi"/>
                <w:b/>
                <w:i/>
                <w:w w:val="100"/>
                <w:kern w:val="0"/>
                <w:sz w:val="19"/>
                <w:szCs w:val="19"/>
                <w:lang w:eastAsia="en-AU"/>
              </w:rPr>
              <w:t xml:space="preserve">Royal Commissions Act 1991 </w:t>
            </w:r>
            <w:r w:rsidRPr="00DB2B77">
              <w:rPr>
                <w:rFonts w:asciiTheme="minorHAnsi" w:eastAsia="Times New Roman" w:hAnsiTheme="minorHAnsi" w:cstheme="minorHAnsi"/>
                <w:b/>
                <w:w w:val="100"/>
                <w:kern w:val="0"/>
                <w:sz w:val="19"/>
                <w:szCs w:val="19"/>
                <w:lang w:eastAsia="en-AU"/>
              </w:rPr>
              <w:t xml:space="preserve">(ACT) </w:t>
            </w:r>
          </w:p>
        </w:tc>
        <w:tc>
          <w:tcPr>
            <w:tcW w:w="504" w:type="pct"/>
            <w:tcBorders>
              <w:top w:val="single" w:sz="4" w:space="0" w:color="auto"/>
              <w:left w:val="nil"/>
              <w:bottom w:val="single" w:sz="4" w:space="0" w:color="auto"/>
              <w:right w:val="nil"/>
            </w:tcBorders>
            <w:shd w:val="clear" w:color="auto" w:fill="D9D9D9"/>
            <w:vAlign w:val="top"/>
            <w:hideMark/>
          </w:tcPr>
          <w:p w14:paraId="28A5F167" w14:textId="77777777" w:rsidR="00030303" w:rsidRPr="00DB2B77" w:rsidRDefault="00030303" w:rsidP="00030303">
            <w:pPr>
              <w:keepLines/>
              <w:widowControl w:val="0"/>
              <w:spacing w:before="60" w:after="0" w:line="240" w:lineRule="atLeast"/>
              <w:rPr>
                <w:rFonts w:asciiTheme="minorHAnsi" w:eastAsia="Times New Roman" w:hAnsiTheme="minorHAnsi" w:cstheme="minorHAnsi"/>
                <w:b/>
                <w:w w:val="100"/>
                <w:kern w:val="0"/>
                <w:sz w:val="19"/>
                <w:szCs w:val="19"/>
                <w:lang w:eastAsia="en-AU"/>
              </w:rPr>
            </w:pPr>
            <w:r w:rsidRPr="00DB2B77">
              <w:rPr>
                <w:rFonts w:asciiTheme="minorHAnsi" w:eastAsia="Times New Roman" w:hAnsiTheme="minorHAnsi" w:cstheme="minorHAnsi"/>
                <w:b/>
                <w:i/>
                <w:w w:val="100"/>
                <w:kern w:val="0"/>
                <w:sz w:val="19"/>
                <w:szCs w:val="19"/>
                <w:lang w:eastAsia="en-AU"/>
              </w:rPr>
              <w:t>Royal Commissions Act 1923</w:t>
            </w:r>
            <w:r w:rsidRPr="00DB2B77">
              <w:rPr>
                <w:rFonts w:asciiTheme="minorHAnsi" w:eastAsia="Times New Roman" w:hAnsiTheme="minorHAnsi" w:cstheme="minorHAnsi"/>
                <w:b/>
                <w:w w:val="100"/>
                <w:kern w:val="0"/>
                <w:sz w:val="19"/>
                <w:szCs w:val="19"/>
                <w:lang w:eastAsia="en-AU"/>
              </w:rPr>
              <w:t xml:space="preserve"> (NSW)</w:t>
            </w:r>
          </w:p>
        </w:tc>
        <w:tc>
          <w:tcPr>
            <w:tcW w:w="504" w:type="pct"/>
            <w:tcBorders>
              <w:top w:val="single" w:sz="4" w:space="0" w:color="auto"/>
              <w:left w:val="nil"/>
              <w:bottom w:val="single" w:sz="4" w:space="0" w:color="auto"/>
              <w:right w:val="nil"/>
            </w:tcBorders>
            <w:shd w:val="clear" w:color="auto" w:fill="D9D9D9"/>
            <w:vAlign w:val="top"/>
            <w:hideMark/>
          </w:tcPr>
          <w:p w14:paraId="012AC7E0" w14:textId="77777777" w:rsidR="00030303" w:rsidRPr="00DB2B77" w:rsidRDefault="00030303" w:rsidP="00030303">
            <w:pPr>
              <w:keepLines/>
              <w:widowControl w:val="0"/>
              <w:spacing w:before="60" w:after="0" w:line="240" w:lineRule="atLeast"/>
              <w:rPr>
                <w:rFonts w:asciiTheme="minorHAnsi" w:eastAsia="Times New Roman" w:hAnsiTheme="minorHAnsi" w:cstheme="minorHAnsi"/>
                <w:b/>
                <w:i/>
                <w:w w:val="100"/>
                <w:kern w:val="0"/>
                <w:sz w:val="19"/>
                <w:szCs w:val="19"/>
                <w:lang w:eastAsia="en-AU"/>
              </w:rPr>
            </w:pPr>
            <w:r w:rsidRPr="00DB2B77">
              <w:rPr>
                <w:rFonts w:asciiTheme="minorHAnsi" w:eastAsia="Times New Roman" w:hAnsiTheme="minorHAnsi" w:cstheme="minorHAnsi"/>
                <w:b/>
                <w:i/>
                <w:w w:val="100"/>
                <w:kern w:val="0"/>
                <w:sz w:val="19"/>
                <w:szCs w:val="19"/>
                <w:lang w:eastAsia="en-AU"/>
              </w:rPr>
              <w:t>Inquiries Act 1945</w:t>
            </w:r>
            <w:r w:rsidRPr="00DB2B77">
              <w:rPr>
                <w:rFonts w:asciiTheme="minorHAnsi" w:eastAsia="Times New Roman" w:hAnsiTheme="minorHAnsi" w:cstheme="minorHAnsi"/>
                <w:b/>
                <w:w w:val="100"/>
                <w:kern w:val="0"/>
                <w:sz w:val="19"/>
                <w:szCs w:val="19"/>
                <w:lang w:eastAsia="en-AU"/>
              </w:rPr>
              <w:t xml:space="preserve"> (NT)</w:t>
            </w:r>
          </w:p>
        </w:tc>
        <w:tc>
          <w:tcPr>
            <w:tcW w:w="504" w:type="pct"/>
            <w:tcBorders>
              <w:top w:val="single" w:sz="4" w:space="0" w:color="auto"/>
              <w:left w:val="nil"/>
              <w:bottom w:val="single" w:sz="4" w:space="0" w:color="auto"/>
              <w:right w:val="nil"/>
            </w:tcBorders>
            <w:shd w:val="clear" w:color="auto" w:fill="D9D9D9"/>
            <w:vAlign w:val="top"/>
            <w:hideMark/>
          </w:tcPr>
          <w:p w14:paraId="61428C7A" w14:textId="77777777" w:rsidR="00030303" w:rsidRPr="00DB2B77" w:rsidRDefault="00030303" w:rsidP="00030303">
            <w:pPr>
              <w:keepLines/>
              <w:widowControl w:val="0"/>
              <w:spacing w:before="60" w:after="0" w:line="240" w:lineRule="atLeast"/>
              <w:rPr>
                <w:rFonts w:asciiTheme="minorHAnsi" w:eastAsia="Times New Roman" w:hAnsiTheme="minorHAnsi" w:cstheme="minorHAnsi"/>
                <w:b/>
                <w:w w:val="100"/>
                <w:kern w:val="0"/>
                <w:sz w:val="19"/>
                <w:szCs w:val="19"/>
                <w:lang w:eastAsia="en-AU"/>
              </w:rPr>
            </w:pPr>
            <w:r w:rsidRPr="00DB2B77">
              <w:rPr>
                <w:rFonts w:asciiTheme="minorHAnsi" w:eastAsia="Times New Roman" w:hAnsiTheme="minorHAnsi" w:cstheme="minorHAnsi"/>
                <w:b/>
                <w:i/>
                <w:w w:val="100"/>
                <w:kern w:val="0"/>
                <w:sz w:val="19"/>
                <w:szCs w:val="19"/>
                <w:lang w:eastAsia="en-AU"/>
              </w:rPr>
              <w:t>Commissions of Inquiry Act 1950</w:t>
            </w:r>
            <w:r w:rsidRPr="00DB2B77">
              <w:rPr>
                <w:rFonts w:asciiTheme="minorHAnsi" w:eastAsia="Times New Roman" w:hAnsiTheme="minorHAnsi" w:cstheme="minorHAnsi"/>
                <w:b/>
                <w:w w:val="100"/>
                <w:kern w:val="0"/>
                <w:sz w:val="19"/>
                <w:szCs w:val="19"/>
                <w:lang w:eastAsia="en-AU"/>
              </w:rPr>
              <w:t xml:space="preserve"> (Qld)</w:t>
            </w:r>
          </w:p>
        </w:tc>
        <w:tc>
          <w:tcPr>
            <w:tcW w:w="504" w:type="pct"/>
            <w:tcBorders>
              <w:top w:val="single" w:sz="4" w:space="0" w:color="auto"/>
              <w:left w:val="nil"/>
              <w:bottom w:val="single" w:sz="4" w:space="0" w:color="auto"/>
              <w:right w:val="nil"/>
            </w:tcBorders>
            <w:shd w:val="clear" w:color="auto" w:fill="D9D9D9"/>
            <w:vAlign w:val="top"/>
            <w:hideMark/>
          </w:tcPr>
          <w:p w14:paraId="511415B0" w14:textId="77777777" w:rsidR="00030303" w:rsidRPr="00DB2B77" w:rsidRDefault="00030303" w:rsidP="00030303">
            <w:pPr>
              <w:keepLines/>
              <w:widowControl w:val="0"/>
              <w:spacing w:before="60" w:after="0" w:line="240" w:lineRule="atLeast"/>
              <w:rPr>
                <w:rFonts w:asciiTheme="minorHAnsi" w:eastAsia="Times New Roman" w:hAnsiTheme="minorHAnsi" w:cstheme="minorHAnsi"/>
                <w:b/>
                <w:w w:val="100"/>
                <w:kern w:val="0"/>
                <w:sz w:val="19"/>
                <w:szCs w:val="19"/>
                <w:lang w:eastAsia="en-AU"/>
              </w:rPr>
            </w:pPr>
            <w:r w:rsidRPr="00DB2B77">
              <w:rPr>
                <w:rFonts w:asciiTheme="minorHAnsi" w:eastAsia="Times New Roman" w:hAnsiTheme="minorHAnsi" w:cstheme="minorHAnsi"/>
                <w:b/>
                <w:i/>
                <w:w w:val="100"/>
                <w:kern w:val="0"/>
                <w:sz w:val="19"/>
                <w:szCs w:val="19"/>
                <w:lang w:eastAsia="en-AU"/>
              </w:rPr>
              <w:t>Royal Commissions Act 1917</w:t>
            </w:r>
            <w:r w:rsidRPr="00DB2B77">
              <w:rPr>
                <w:rFonts w:asciiTheme="minorHAnsi" w:eastAsia="Times New Roman" w:hAnsiTheme="minorHAnsi" w:cstheme="minorHAnsi"/>
                <w:b/>
                <w:w w:val="100"/>
                <w:kern w:val="0"/>
                <w:sz w:val="19"/>
                <w:szCs w:val="19"/>
                <w:lang w:eastAsia="en-AU"/>
              </w:rPr>
              <w:t xml:space="preserve"> (SA)</w:t>
            </w:r>
          </w:p>
        </w:tc>
        <w:tc>
          <w:tcPr>
            <w:tcW w:w="504" w:type="pct"/>
            <w:tcBorders>
              <w:top w:val="single" w:sz="4" w:space="0" w:color="auto"/>
              <w:left w:val="nil"/>
              <w:bottom w:val="single" w:sz="4" w:space="0" w:color="auto"/>
              <w:right w:val="nil"/>
            </w:tcBorders>
            <w:shd w:val="clear" w:color="auto" w:fill="D9D9D9"/>
            <w:vAlign w:val="top"/>
            <w:hideMark/>
          </w:tcPr>
          <w:p w14:paraId="0A90DF6D" w14:textId="77777777" w:rsidR="00030303" w:rsidRPr="00DB2B77" w:rsidRDefault="00030303" w:rsidP="00030303">
            <w:pPr>
              <w:keepLines/>
              <w:widowControl w:val="0"/>
              <w:spacing w:before="60" w:after="0" w:line="240" w:lineRule="atLeast"/>
              <w:rPr>
                <w:rFonts w:asciiTheme="minorHAnsi" w:eastAsia="Times New Roman" w:hAnsiTheme="minorHAnsi" w:cstheme="minorHAnsi"/>
                <w:b/>
                <w:w w:val="100"/>
                <w:kern w:val="0"/>
                <w:sz w:val="19"/>
                <w:szCs w:val="19"/>
                <w:lang w:eastAsia="en-AU"/>
              </w:rPr>
            </w:pPr>
            <w:r w:rsidRPr="00DB2B77">
              <w:rPr>
                <w:rFonts w:asciiTheme="minorHAnsi" w:eastAsia="Times New Roman" w:hAnsiTheme="minorHAnsi" w:cstheme="minorHAnsi"/>
                <w:b/>
                <w:i/>
                <w:w w:val="100"/>
                <w:kern w:val="0"/>
                <w:sz w:val="19"/>
                <w:szCs w:val="19"/>
                <w:lang w:eastAsia="en-AU"/>
              </w:rPr>
              <w:t>Commissions of Inquiry Act 1995</w:t>
            </w:r>
            <w:r w:rsidRPr="00DB2B77">
              <w:rPr>
                <w:rFonts w:asciiTheme="minorHAnsi" w:eastAsia="Times New Roman" w:hAnsiTheme="minorHAnsi" w:cstheme="minorHAnsi"/>
                <w:b/>
                <w:w w:val="100"/>
                <w:kern w:val="0"/>
                <w:sz w:val="19"/>
                <w:szCs w:val="19"/>
                <w:lang w:eastAsia="en-AU"/>
              </w:rPr>
              <w:t xml:space="preserve"> (Tas)</w:t>
            </w:r>
          </w:p>
        </w:tc>
        <w:tc>
          <w:tcPr>
            <w:tcW w:w="503" w:type="pct"/>
            <w:tcBorders>
              <w:top w:val="single" w:sz="4" w:space="0" w:color="auto"/>
              <w:left w:val="nil"/>
              <w:bottom w:val="single" w:sz="4" w:space="0" w:color="auto"/>
              <w:right w:val="nil"/>
            </w:tcBorders>
            <w:shd w:val="clear" w:color="auto" w:fill="D9D9D9"/>
            <w:vAlign w:val="top"/>
            <w:hideMark/>
          </w:tcPr>
          <w:p w14:paraId="72D80DF2" w14:textId="77777777" w:rsidR="00030303" w:rsidRPr="00DB2B77" w:rsidRDefault="00030303" w:rsidP="00030303">
            <w:pPr>
              <w:keepLines/>
              <w:widowControl w:val="0"/>
              <w:spacing w:before="60" w:after="0" w:line="240" w:lineRule="atLeast"/>
              <w:rPr>
                <w:rFonts w:asciiTheme="minorHAnsi" w:eastAsia="Times New Roman" w:hAnsiTheme="minorHAnsi" w:cstheme="minorHAnsi"/>
                <w:b/>
                <w:w w:val="100"/>
                <w:kern w:val="0"/>
                <w:sz w:val="19"/>
                <w:szCs w:val="19"/>
                <w:lang w:eastAsia="en-AU"/>
              </w:rPr>
            </w:pPr>
            <w:r w:rsidRPr="00DB2B77">
              <w:rPr>
                <w:rFonts w:asciiTheme="minorHAnsi" w:eastAsia="Times New Roman" w:hAnsiTheme="minorHAnsi" w:cstheme="minorHAnsi"/>
                <w:b/>
                <w:i/>
                <w:w w:val="100"/>
                <w:kern w:val="0"/>
                <w:sz w:val="19"/>
                <w:szCs w:val="19"/>
                <w:lang w:eastAsia="en-AU"/>
              </w:rPr>
              <w:t>Inquiries Act 2014</w:t>
            </w:r>
            <w:r w:rsidRPr="00DB2B77">
              <w:rPr>
                <w:rFonts w:asciiTheme="minorHAnsi" w:eastAsia="Times New Roman" w:hAnsiTheme="minorHAnsi" w:cstheme="minorHAnsi"/>
                <w:b/>
                <w:w w:val="100"/>
                <w:kern w:val="0"/>
                <w:sz w:val="19"/>
                <w:szCs w:val="19"/>
                <w:lang w:eastAsia="en-AU"/>
              </w:rPr>
              <w:t xml:space="preserve"> (Vic)</w:t>
            </w:r>
          </w:p>
        </w:tc>
        <w:tc>
          <w:tcPr>
            <w:tcW w:w="503" w:type="pct"/>
            <w:tcBorders>
              <w:top w:val="single" w:sz="4" w:space="0" w:color="auto"/>
              <w:left w:val="nil"/>
              <w:bottom w:val="single" w:sz="4" w:space="0" w:color="auto"/>
              <w:right w:val="single" w:sz="4" w:space="0" w:color="auto"/>
            </w:tcBorders>
            <w:shd w:val="clear" w:color="auto" w:fill="D9D9D9"/>
            <w:vAlign w:val="top"/>
            <w:hideMark/>
          </w:tcPr>
          <w:p w14:paraId="659BE357" w14:textId="77777777" w:rsidR="00030303" w:rsidRPr="00DB2B77" w:rsidRDefault="00030303" w:rsidP="00030303">
            <w:pPr>
              <w:keepLines/>
              <w:widowControl w:val="0"/>
              <w:spacing w:before="60" w:after="0" w:line="240" w:lineRule="atLeast"/>
              <w:rPr>
                <w:rFonts w:asciiTheme="minorHAnsi" w:eastAsia="Times New Roman" w:hAnsiTheme="minorHAnsi" w:cstheme="minorHAnsi"/>
                <w:b/>
                <w:w w:val="100"/>
                <w:kern w:val="0"/>
                <w:sz w:val="19"/>
                <w:szCs w:val="19"/>
                <w:lang w:eastAsia="en-AU"/>
              </w:rPr>
            </w:pPr>
            <w:r w:rsidRPr="00DB2B77">
              <w:rPr>
                <w:rFonts w:asciiTheme="minorHAnsi" w:eastAsia="Times New Roman" w:hAnsiTheme="minorHAnsi" w:cstheme="minorHAnsi"/>
                <w:b/>
                <w:i/>
                <w:w w:val="100"/>
                <w:kern w:val="0"/>
                <w:sz w:val="19"/>
                <w:szCs w:val="19"/>
                <w:lang w:eastAsia="en-AU"/>
              </w:rPr>
              <w:t>Royal Commissions Act 1968</w:t>
            </w:r>
            <w:r w:rsidRPr="00DB2B77">
              <w:rPr>
                <w:rFonts w:asciiTheme="minorHAnsi" w:eastAsia="Times New Roman" w:hAnsiTheme="minorHAnsi" w:cstheme="minorHAnsi"/>
                <w:b/>
                <w:w w:val="100"/>
                <w:kern w:val="0"/>
                <w:sz w:val="19"/>
                <w:szCs w:val="19"/>
                <w:lang w:eastAsia="en-AU"/>
              </w:rPr>
              <w:t xml:space="preserve"> (WA)</w:t>
            </w:r>
          </w:p>
        </w:tc>
      </w:tr>
      <w:tr w:rsidR="00030303" w:rsidRPr="00DB2B77" w14:paraId="1E46B0DD" w14:textId="77777777" w:rsidTr="00030303">
        <w:tc>
          <w:tcPr>
            <w:tcW w:w="467" w:type="pct"/>
            <w:tcBorders>
              <w:top w:val="single" w:sz="4" w:space="0" w:color="auto"/>
              <w:left w:val="single" w:sz="4" w:space="0" w:color="auto"/>
              <w:bottom w:val="single" w:sz="4" w:space="0" w:color="auto"/>
              <w:right w:val="nil"/>
            </w:tcBorders>
            <w:vAlign w:val="top"/>
            <w:hideMark/>
          </w:tcPr>
          <w:p w14:paraId="07F404EA" w14:textId="77777777" w:rsidR="00030303" w:rsidRPr="00DB2B77" w:rsidRDefault="00030303" w:rsidP="00030303">
            <w:pPr>
              <w:spacing w:before="60" w:after="60" w:line="240" w:lineRule="atLeast"/>
              <w:rPr>
                <w:rFonts w:asciiTheme="minorHAnsi" w:eastAsia="Times New Roman" w:hAnsiTheme="minorHAnsi" w:cstheme="minorHAnsi"/>
                <w:i/>
                <w:w w:val="100"/>
                <w:kern w:val="0"/>
                <w:sz w:val="19"/>
                <w:szCs w:val="19"/>
                <w:lang w:eastAsia="en-AU"/>
              </w:rPr>
            </w:pPr>
            <w:r w:rsidRPr="00DB2B77">
              <w:rPr>
                <w:rFonts w:asciiTheme="minorHAnsi" w:eastAsia="Times New Roman" w:hAnsiTheme="minorHAnsi" w:cstheme="minorHAnsi"/>
                <w:b/>
                <w:w w:val="100"/>
                <w:kern w:val="0"/>
                <w:sz w:val="19"/>
                <w:szCs w:val="19"/>
                <w:lang w:eastAsia="en-AU"/>
              </w:rPr>
              <w:t>Prohibiting recording, publication and disclosure of evidence (generally)</w:t>
            </w:r>
          </w:p>
        </w:tc>
        <w:tc>
          <w:tcPr>
            <w:tcW w:w="503" w:type="pct"/>
            <w:tcBorders>
              <w:top w:val="single" w:sz="4" w:space="0" w:color="auto"/>
              <w:left w:val="nil"/>
              <w:bottom w:val="single" w:sz="4" w:space="0" w:color="auto"/>
              <w:right w:val="nil"/>
            </w:tcBorders>
            <w:shd w:val="clear" w:color="auto" w:fill="D9D9D9"/>
            <w:vAlign w:val="top"/>
            <w:hideMark/>
          </w:tcPr>
          <w:p w14:paraId="376D4153" w14:textId="77777777" w:rsidR="00030303" w:rsidRPr="00DB2B77" w:rsidRDefault="00030303" w:rsidP="00030303">
            <w:pPr>
              <w:spacing w:before="60" w:after="60" w:line="240" w:lineRule="atLeast"/>
              <w:rPr>
                <w:rFonts w:asciiTheme="minorHAnsi" w:eastAsia="Times New Roman" w:hAnsiTheme="minorHAnsi" w:cstheme="minorHAnsi"/>
                <w:w w:val="100"/>
                <w:kern w:val="0"/>
                <w:sz w:val="19"/>
                <w:szCs w:val="19"/>
                <w:lang w:eastAsia="en-AU"/>
              </w:rPr>
            </w:pPr>
            <w:r w:rsidRPr="00DB2B77">
              <w:rPr>
                <w:rFonts w:asciiTheme="minorHAnsi" w:eastAsia="Times New Roman" w:hAnsiTheme="minorHAnsi" w:cstheme="minorHAnsi"/>
                <w:w w:val="100"/>
                <w:kern w:val="0"/>
                <w:sz w:val="19"/>
                <w:szCs w:val="19"/>
                <w:lang w:eastAsia="en-AU"/>
              </w:rPr>
              <w:t xml:space="preserve">A Commission may direct that any evidence given before it, the contents of any document or description of </w:t>
            </w:r>
            <w:proofErr w:type="spellStart"/>
            <w:r w:rsidRPr="00DB2B77">
              <w:rPr>
                <w:rFonts w:asciiTheme="minorHAnsi" w:eastAsia="Times New Roman" w:hAnsiTheme="minorHAnsi" w:cstheme="minorHAnsi"/>
                <w:w w:val="100"/>
                <w:kern w:val="0"/>
                <w:sz w:val="19"/>
                <w:szCs w:val="19"/>
                <w:lang w:eastAsia="en-AU"/>
              </w:rPr>
              <w:t>any thing</w:t>
            </w:r>
            <w:proofErr w:type="spellEnd"/>
            <w:r w:rsidRPr="00DB2B77">
              <w:rPr>
                <w:rFonts w:asciiTheme="minorHAnsi" w:eastAsia="Times New Roman" w:hAnsiTheme="minorHAnsi" w:cstheme="minorHAnsi"/>
                <w:w w:val="100"/>
                <w:kern w:val="0"/>
                <w:sz w:val="19"/>
                <w:szCs w:val="19"/>
                <w:lang w:eastAsia="en-AU"/>
              </w:rPr>
              <w:t>, produced before, delivered to, or produced/</w:t>
            </w:r>
            <w:r w:rsidRPr="00DB2B77">
              <w:rPr>
                <w:rFonts w:asciiTheme="minorHAnsi" w:eastAsia="Times New Roman" w:hAnsiTheme="minorHAnsi" w:cstheme="minorHAnsi"/>
                <w:w w:val="100"/>
                <w:kern w:val="0"/>
                <w:sz w:val="19"/>
                <w:szCs w:val="19"/>
                <w:lang w:eastAsia="en-AU"/>
              </w:rPr>
              <w:br/>
            </w:r>
            <w:r w:rsidRPr="00DB2B77">
              <w:rPr>
                <w:rFonts w:asciiTheme="minorHAnsi" w:eastAsia="Times New Roman" w:hAnsiTheme="minorHAnsi" w:cstheme="minorHAnsi"/>
                <w:w w:val="100"/>
                <w:kern w:val="0"/>
                <w:sz w:val="19"/>
                <w:szCs w:val="19"/>
                <w:lang w:eastAsia="en-AU"/>
              </w:rPr>
              <w:lastRenderedPageBreak/>
              <w:t>delivered under a notice to the Commission must not be published or may only be published in specified circumstances (s 6</w:t>
            </w:r>
            <w:proofErr w:type="gramStart"/>
            <w:r w:rsidRPr="00DB2B77">
              <w:rPr>
                <w:rFonts w:asciiTheme="minorHAnsi" w:eastAsia="Times New Roman" w:hAnsiTheme="minorHAnsi" w:cstheme="minorHAnsi"/>
                <w:w w:val="100"/>
                <w:kern w:val="0"/>
                <w:sz w:val="19"/>
                <w:szCs w:val="19"/>
                <w:lang w:eastAsia="en-AU"/>
              </w:rPr>
              <w:t>D(</w:t>
            </w:r>
            <w:proofErr w:type="gramEnd"/>
            <w:r w:rsidRPr="00DB2B77">
              <w:rPr>
                <w:rFonts w:asciiTheme="minorHAnsi" w:eastAsia="Times New Roman" w:hAnsiTheme="minorHAnsi" w:cstheme="minorHAnsi"/>
                <w:w w:val="100"/>
                <w:kern w:val="0"/>
                <w:sz w:val="19"/>
                <w:szCs w:val="19"/>
                <w:lang w:eastAsia="en-AU"/>
              </w:rPr>
              <w:t>3)).</w:t>
            </w:r>
            <w:r w:rsidRPr="00DB2B77">
              <w:rPr>
                <w:rFonts w:asciiTheme="minorHAnsi" w:eastAsia="Times New Roman" w:hAnsiTheme="minorHAnsi" w:cstheme="minorHAnsi"/>
                <w:w w:val="100"/>
                <w:kern w:val="0"/>
                <w:sz w:val="19"/>
                <w:szCs w:val="19"/>
                <w:vertAlign w:val="superscript"/>
                <w:lang w:eastAsia="en-AU"/>
              </w:rPr>
              <w:footnoteReference w:id="21"/>
            </w:r>
          </w:p>
          <w:p w14:paraId="756FEF75" w14:textId="77777777" w:rsidR="00030303" w:rsidRPr="00DB2B77" w:rsidRDefault="00030303" w:rsidP="00030303">
            <w:pPr>
              <w:spacing w:before="60" w:after="60" w:line="240" w:lineRule="atLeast"/>
              <w:rPr>
                <w:rFonts w:asciiTheme="minorHAnsi" w:eastAsia="Times New Roman" w:hAnsiTheme="minorHAnsi" w:cstheme="minorHAnsi"/>
                <w:w w:val="100"/>
                <w:kern w:val="0"/>
                <w:sz w:val="19"/>
                <w:szCs w:val="19"/>
                <w:lang w:eastAsia="en-AU"/>
              </w:rPr>
            </w:pPr>
            <w:r w:rsidRPr="00DB2B77">
              <w:rPr>
                <w:rFonts w:asciiTheme="minorHAnsi" w:eastAsia="Times New Roman" w:hAnsiTheme="minorHAnsi" w:cstheme="minorHAnsi"/>
                <w:w w:val="100"/>
                <w:kern w:val="0"/>
                <w:sz w:val="19"/>
                <w:szCs w:val="19"/>
                <w:lang w:eastAsia="en-AU"/>
              </w:rPr>
              <w:t>Offence provisions apply for non</w:t>
            </w:r>
            <w:r w:rsidRPr="00DB2B77">
              <w:rPr>
                <w:rFonts w:asciiTheme="minorHAnsi" w:eastAsia="Times New Roman" w:hAnsiTheme="minorHAnsi" w:cstheme="minorHAnsi"/>
                <w:w w:val="100"/>
                <w:kern w:val="0"/>
                <w:sz w:val="19"/>
                <w:szCs w:val="19"/>
                <w:lang w:eastAsia="en-AU"/>
              </w:rPr>
              <w:noBreakHyphen/>
              <w:t>compliance.</w:t>
            </w:r>
          </w:p>
        </w:tc>
        <w:tc>
          <w:tcPr>
            <w:tcW w:w="504" w:type="pct"/>
            <w:tcBorders>
              <w:top w:val="single" w:sz="4" w:space="0" w:color="auto"/>
              <w:left w:val="nil"/>
              <w:bottom w:val="single" w:sz="4" w:space="0" w:color="auto"/>
              <w:right w:val="nil"/>
            </w:tcBorders>
            <w:vAlign w:val="top"/>
            <w:hideMark/>
          </w:tcPr>
          <w:p w14:paraId="62424154" w14:textId="77777777" w:rsidR="00030303" w:rsidRPr="00DB2B77" w:rsidRDefault="00030303" w:rsidP="00030303">
            <w:pPr>
              <w:spacing w:before="60" w:after="60" w:line="240" w:lineRule="atLeast"/>
              <w:rPr>
                <w:rFonts w:asciiTheme="minorHAnsi" w:eastAsia="Times New Roman" w:hAnsiTheme="minorHAnsi" w:cstheme="minorHAnsi"/>
                <w:w w:val="100"/>
                <w:kern w:val="0"/>
                <w:sz w:val="19"/>
                <w:szCs w:val="19"/>
                <w:lang w:eastAsia="en-AU"/>
              </w:rPr>
            </w:pPr>
            <w:r w:rsidRPr="00DB2B77">
              <w:rPr>
                <w:rFonts w:asciiTheme="minorHAnsi" w:eastAsia="Times New Roman" w:hAnsiTheme="minorHAnsi" w:cstheme="minorHAnsi"/>
                <w:w w:val="100"/>
                <w:kern w:val="0"/>
                <w:sz w:val="19"/>
                <w:szCs w:val="19"/>
                <w:lang w:eastAsia="en-AU"/>
              </w:rPr>
              <w:lastRenderedPageBreak/>
              <w:t xml:space="preserve">A Commission may, because of the confidential nature of any evidence etc or for any other reason, give directions </w:t>
            </w:r>
            <w:r w:rsidRPr="00DB2B77">
              <w:rPr>
                <w:rFonts w:asciiTheme="minorHAnsi" w:eastAsia="Times New Roman" w:hAnsiTheme="minorHAnsi" w:cstheme="minorHAnsi"/>
                <w:w w:val="100"/>
                <w:kern w:val="0"/>
                <w:sz w:val="19"/>
                <w:szCs w:val="19"/>
                <w:lang w:eastAsia="en-AU"/>
              </w:rPr>
              <w:lastRenderedPageBreak/>
              <w:t>prohibiting or restricting:</w:t>
            </w:r>
          </w:p>
          <w:p w14:paraId="22D12E07" w14:textId="77777777" w:rsidR="00030303" w:rsidRPr="00DB2B77" w:rsidRDefault="00030303" w:rsidP="00030303">
            <w:pPr>
              <w:pStyle w:val="ListParagraph"/>
              <w:numPr>
                <w:ilvl w:val="0"/>
                <w:numId w:val="7"/>
              </w:numPr>
              <w:spacing w:before="60" w:after="60" w:line="240" w:lineRule="atLeast"/>
              <w:ind w:left="95" w:hanging="137"/>
              <w:rPr>
                <w:rFonts w:asciiTheme="minorHAnsi" w:eastAsia="Times New Roman" w:hAnsiTheme="minorHAnsi" w:cstheme="minorHAnsi"/>
                <w:w w:val="100"/>
                <w:kern w:val="0"/>
                <w:sz w:val="19"/>
                <w:szCs w:val="19"/>
                <w:lang w:eastAsia="en-AU"/>
              </w:rPr>
            </w:pPr>
            <w:r w:rsidRPr="00DB2B77">
              <w:rPr>
                <w:rFonts w:asciiTheme="minorHAnsi" w:eastAsia="Times New Roman" w:hAnsiTheme="minorHAnsi" w:cstheme="minorHAnsi"/>
                <w:w w:val="100"/>
                <w:kern w:val="0"/>
                <w:sz w:val="19"/>
                <w:szCs w:val="19"/>
                <w:lang w:eastAsia="en-AU"/>
              </w:rPr>
              <w:t>publication of evidence given at a public or private hearing or of matters contained in documents lodged with or received in evidence by the Commission (s 28(3)(b)), and</w:t>
            </w:r>
          </w:p>
          <w:p w14:paraId="4DDF7558" w14:textId="77777777" w:rsidR="00030303" w:rsidRPr="00DB2B77" w:rsidRDefault="00030303" w:rsidP="00030303">
            <w:pPr>
              <w:pStyle w:val="ListParagraph"/>
              <w:numPr>
                <w:ilvl w:val="0"/>
                <w:numId w:val="7"/>
              </w:numPr>
              <w:spacing w:before="60" w:after="60" w:line="240" w:lineRule="atLeast"/>
              <w:ind w:left="95" w:hanging="137"/>
              <w:rPr>
                <w:rFonts w:asciiTheme="minorHAnsi" w:eastAsia="Times New Roman" w:hAnsiTheme="minorHAnsi" w:cstheme="minorHAnsi"/>
                <w:w w:val="100"/>
                <w:kern w:val="0"/>
                <w:sz w:val="19"/>
                <w:szCs w:val="19"/>
                <w:lang w:eastAsia="en-AU"/>
              </w:rPr>
            </w:pPr>
            <w:r w:rsidRPr="00DB2B77">
              <w:rPr>
                <w:rFonts w:asciiTheme="minorHAnsi" w:eastAsia="Times New Roman" w:hAnsiTheme="minorHAnsi" w:cstheme="minorHAnsi"/>
                <w:w w:val="100"/>
                <w:kern w:val="0"/>
                <w:sz w:val="19"/>
                <w:szCs w:val="19"/>
                <w:lang w:eastAsia="en-AU"/>
              </w:rPr>
              <w:t xml:space="preserve">disclosure to some or all people present at a hearing of evidence given before, or contents of a document lodged with </w:t>
            </w:r>
            <w:r w:rsidRPr="00DB2B77">
              <w:rPr>
                <w:rFonts w:asciiTheme="minorHAnsi" w:eastAsia="Times New Roman" w:hAnsiTheme="minorHAnsi" w:cstheme="minorHAnsi"/>
                <w:w w:val="100"/>
                <w:kern w:val="0"/>
                <w:sz w:val="19"/>
                <w:szCs w:val="19"/>
                <w:lang w:eastAsia="en-AU"/>
              </w:rPr>
              <w:lastRenderedPageBreak/>
              <w:t>or received in evidence by, the Commission (s 28(3)(c)).</w:t>
            </w:r>
          </w:p>
          <w:p w14:paraId="10A590A8" w14:textId="77777777" w:rsidR="00030303" w:rsidRPr="00DB2B77" w:rsidRDefault="00030303" w:rsidP="00030303">
            <w:pPr>
              <w:spacing w:before="60" w:after="60" w:line="240" w:lineRule="atLeast"/>
              <w:rPr>
                <w:rFonts w:asciiTheme="minorHAnsi" w:eastAsia="Times New Roman" w:hAnsiTheme="minorHAnsi" w:cstheme="minorHAnsi"/>
                <w:w w:val="100"/>
                <w:kern w:val="0"/>
                <w:sz w:val="19"/>
                <w:szCs w:val="19"/>
                <w:lang w:eastAsia="en-AU"/>
              </w:rPr>
            </w:pPr>
            <w:r w:rsidRPr="00DB2B77">
              <w:rPr>
                <w:rFonts w:asciiTheme="minorHAnsi" w:eastAsia="Times New Roman" w:hAnsiTheme="minorHAnsi" w:cstheme="minorHAnsi"/>
                <w:w w:val="100"/>
                <w:kern w:val="0"/>
                <w:sz w:val="19"/>
                <w:szCs w:val="19"/>
                <w:lang w:eastAsia="en-AU"/>
              </w:rPr>
              <w:t>Non-compliance would likely constitute contempt.</w:t>
            </w:r>
          </w:p>
        </w:tc>
        <w:tc>
          <w:tcPr>
            <w:tcW w:w="504" w:type="pct"/>
            <w:tcBorders>
              <w:top w:val="single" w:sz="4" w:space="0" w:color="auto"/>
              <w:left w:val="nil"/>
              <w:bottom w:val="single" w:sz="4" w:space="0" w:color="auto"/>
              <w:right w:val="nil"/>
            </w:tcBorders>
            <w:vAlign w:val="top"/>
            <w:hideMark/>
          </w:tcPr>
          <w:p w14:paraId="3AAB2EC9" w14:textId="77777777" w:rsidR="00030303" w:rsidRPr="00DB2B77" w:rsidRDefault="00030303" w:rsidP="00030303">
            <w:pPr>
              <w:spacing w:before="60" w:after="60" w:line="240" w:lineRule="atLeast"/>
              <w:rPr>
                <w:rFonts w:asciiTheme="minorHAnsi" w:eastAsia="Times New Roman" w:hAnsiTheme="minorHAnsi" w:cstheme="minorHAnsi"/>
                <w:w w:val="100"/>
                <w:kern w:val="0"/>
                <w:sz w:val="19"/>
                <w:szCs w:val="19"/>
                <w:lang w:eastAsia="en-AU"/>
              </w:rPr>
            </w:pPr>
            <w:r w:rsidRPr="00DB2B77">
              <w:rPr>
                <w:rFonts w:asciiTheme="minorHAnsi" w:eastAsia="Times New Roman" w:hAnsiTheme="minorHAnsi" w:cstheme="minorHAnsi"/>
                <w:w w:val="100"/>
                <w:kern w:val="0"/>
                <w:sz w:val="19"/>
                <w:szCs w:val="19"/>
                <w:lang w:eastAsia="en-AU"/>
              </w:rPr>
              <w:lastRenderedPageBreak/>
              <w:t xml:space="preserve">A Commissioner may give directions preventing or restricting publication of evidence or information given, or matters in documents produced, to or </w:t>
            </w:r>
            <w:r w:rsidRPr="00DB2B77">
              <w:rPr>
                <w:rFonts w:asciiTheme="minorHAnsi" w:eastAsia="Times New Roman" w:hAnsiTheme="minorHAnsi" w:cstheme="minorHAnsi"/>
                <w:w w:val="100"/>
                <w:kern w:val="0"/>
                <w:sz w:val="19"/>
                <w:szCs w:val="19"/>
                <w:lang w:eastAsia="en-AU"/>
              </w:rPr>
              <w:lastRenderedPageBreak/>
              <w:t>before the Commission (s 12</w:t>
            </w:r>
            <w:proofErr w:type="gramStart"/>
            <w:r w:rsidRPr="00DB2B77">
              <w:rPr>
                <w:rFonts w:asciiTheme="minorHAnsi" w:eastAsia="Times New Roman" w:hAnsiTheme="minorHAnsi" w:cstheme="minorHAnsi"/>
                <w:w w:val="100"/>
                <w:kern w:val="0"/>
                <w:sz w:val="19"/>
                <w:szCs w:val="19"/>
                <w:lang w:eastAsia="en-AU"/>
              </w:rPr>
              <w:t>B(</w:t>
            </w:r>
            <w:proofErr w:type="gramEnd"/>
            <w:r w:rsidRPr="00DB2B77">
              <w:rPr>
                <w:rFonts w:asciiTheme="minorHAnsi" w:eastAsia="Times New Roman" w:hAnsiTheme="minorHAnsi" w:cstheme="minorHAnsi"/>
                <w:w w:val="100"/>
                <w:kern w:val="0"/>
                <w:sz w:val="19"/>
                <w:szCs w:val="19"/>
                <w:lang w:eastAsia="en-AU"/>
              </w:rPr>
              <w:t xml:space="preserve">1)). </w:t>
            </w:r>
          </w:p>
          <w:p w14:paraId="542E9FDF" w14:textId="77777777" w:rsidR="00030303" w:rsidRPr="00DB2B77" w:rsidRDefault="00030303" w:rsidP="00030303">
            <w:pPr>
              <w:spacing w:before="60" w:after="60" w:line="240" w:lineRule="atLeast"/>
              <w:rPr>
                <w:rFonts w:asciiTheme="minorHAnsi" w:eastAsia="Times New Roman" w:hAnsiTheme="minorHAnsi" w:cstheme="minorHAnsi"/>
                <w:w w:val="100"/>
                <w:kern w:val="0"/>
                <w:sz w:val="19"/>
                <w:szCs w:val="19"/>
                <w:lang w:eastAsia="en-AU"/>
              </w:rPr>
            </w:pPr>
            <w:r w:rsidRPr="00DB2B77">
              <w:rPr>
                <w:rFonts w:asciiTheme="minorHAnsi" w:eastAsia="Times New Roman" w:hAnsiTheme="minorHAnsi" w:cstheme="minorHAnsi"/>
                <w:w w:val="100"/>
                <w:kern w:val="0"/>
                <w:sz w:val="19"/>
                <w:szCs w:val="19"/>
                <w:lang w:eastAsia="en-AU"/>
              </w:rPr>
              <w:t>Offence provisions apply for non</w:t>
            </w:r>
            <w:r w:rsidRPr="00DB2B77">
              <w:rPr>
                <w:rFonts w:asciiTheme="minorHAnsi" w:eastAsia="Times New Roman" w:hAnsiTheme="minorHAnsi" w:cstheme="minorHAnsi"/>
                <w:w w:val="100"/>
                <w:kern w:val="0"/>
                <w:sz w:val="19"/>
                <w:szCs w:val="19"/>
                <w:lang w:eastAsia="en-AU"/>
              </w:rPr>
              <w:noBreakHyphen/>
              <w:t>compliance.</w:t>
            </w:r>
          </w:p>
        </w:tc>
        <w:tc>
          <w:tcPr>
            <w:tcW w:w="504" w:type="pct"/>
            <w:tcBorders>
              <w:top w:val="single" w:sz="4" w:space="0" w:color="auto"/>
              <w:left w:val="nil"/>
              <w:bottom w:val="single" w:sz="4" w:space="0" w:color="auto"/>
              <w:right w:val="nil"/>
            </w:tcBorders>
            <w:vAlign w:val="top"/>
            <w:hideMark/>
          </w:tcPr>
          <w:p w14:paraId="1BB81976" w14:textId="77777777" w:rsidR="00030303" w:rsidRPr="00DB2B77" w:rsidRDefault="00030303" w:rsidP="00030303">
            <w:pPr>
              <w:spacing w:before="60" w:after="60" w:line="240" w:lineRule="atLeast"/>
              <w:rPr>
                <w:rFonts w:asciiTheme="minorHAnsi" w:eastAsia="Times New Roman" w:hAnsiTheme="minorHAnsi" w:cstheme="minorHAnsi"/>
                <w:w w:val="100"/>
                <w:kern w:val="0"/>
                <w:sz w:val="19"/>
                <w:szCs w:val="19"/>
                <w:lang w:eastAsia="en-AU"/>
              </w:rPr>
            </w:pPr>
            <w:r w:rsidRPr="00DB2B77">
              <w:rPr>
                <w:rFonts w:asciiTheme="minorHAnsi" w:eastAsia="Times New Roman" w:hAnsiTheme="minorHAnsi" w:cstheme="minorHAnsi"/>
                <w:w w:val="100"/>
                <w:kern w:val="0"/>
                <w:sz w:val="19"/>
                <w:szCs w:val="19"/>
                <w:lang w:eastAsia="en-AU"/>
              </w:rPr>
              <w:lastRenderedPageBreak/>
              <w:t>N/A</w:t>
            </w:r>
            <w:r w:rsidRPr="00DB2B77">
              <w:rPr>
                <w:rFonts w:asciiTheme="minorHAnsi" w:eastAsia="Times New Roman" w:hAnsiTheme="minorHAnsi" w:cstheme="minorHAnsi"/>
                <w:w w:val="100"/>
                <w:kern w:val="0"/>
                <w:sz w:val="19"/>
                <w:szCs w:val="19"/>
                <w:vertAlign w:val="superscript"/>
                <w:lang w:eastAsia="en-AU"/>
              </w:rPr>
              <w:footnoteReference w:id="22"/>
            </w:r>
          </w:p>
        </w:tc>
        <w:tc>
          <w:tcPr>
            <w:tcW w:w="504" w:type="pct"/>
            <w:tcBorders>
              <w:top w:val="single" w:sz="4" w:space="0" w:color="auto"/>
              <w:left w:val="nil"/>
              <w:bottom w:val="single" w:sz="4" w:space="0" w:color="auto"/>
              <w:right w:val="nil"/>
            </w:tcBorders>
            <w:vAlign w:val="top"/>
            <w:hideMark/>
          </w:tcPr>
          <w:p w14:paraId="00B5897B" w14:textId="77777777" w:rsidR="00030303" w:rsidRPr="00DB2B77" w:rsidRDefault="00030303" w:rsidP="00030303">
            <w:pPr>
              <w:spacing w:before="60" w:after="60" w:line="240" w:lineRule="atLeast"/>
              <w:rPr>
                <w:rFonts w:asciiTheme="minorHAnsi" w:eastAsia="Times New Roman" w:hAnsiTheme="minorHAnsi" w:cstheme="minorHAnsi"/>
                <w:w w:val="100"/>
                <w:kern w:val="0"/>
                <w:sz w:val="19"/>
                <w:szCs w:val="19"/>
                <w:lang w:eastAsia="en-AU"/>
              </w:rPr>
            </w:pPr>
            <w:r w:rsidRPr="00DB2B77">
              <w:rPr>
                <w:rFonts w:asciiTheme="minorHAnsi" w:eastAsia="Times New Roman" w:hAnsiTheme="minorHAnsi" w:cstheme="minorHAnsi"/>
                <w:w w:val="100"/>
                <w:kern w:val="0"/>
                <w:sz w:val="19"/>
                <w:szCs w:val="19"/>
                <w:lang w:eastAsia="en-AU"/>
              </w:rPr>
              <w:t xml:space="preserve">A Commission may order that evidence given before it or the contents of documents etc produced at the inquiry must not be </w:t>
            </w:r>
            <w:r w:rsidRPr="00DB2B77">
              <w:rPr>
                <w:rFonts w:asciiTheme="minorHAnsi" w:eastAsia="Times New Roman" w:hAnsiTheme="minorHAnsi" w:cstheme="minorHAnsi"/>
                <w:w w:val="100"/>
                <w:kern w:val="0"/>
                <w:sz w:val="19"/>
                <w:szCs w:val="19"/>
                <w:lang w:eastAsia="en-AU"/>
              </w:rPr>
              <w:lastRenderedPageBreak/>
              <w:t>published (s 16).</w:t>
            </w:r>
          </w:p>
          <w:p w14:paraId="4F67DD58" w14:textId="77777777" w:rsidR="00030303" w:rsidRPr="00DB2B77" w:rsidRDefault="00030303" w:rsidP="00030303">
            <w:pPr>
              <w:spacing w:before="60" w:after="60" w:line="240" w:lineRule="atLeast"/>
              <w:rPr>
                <w:rFonts w:asciiTheme="minorHAnsi" w:eastAsia="Times New Roman" w:hAnsiTheme="minorHAnsi" w:cstheme="minorHAnsi"/>
                <w:w w:val="100"/>
                <w:kern w:val="0"/>
                <w:sz w:val="19"/>
                <w:szCs w:val="19"/>
                <w:highlight w:val="yellow"/>
                <w:lang w:eastAsia="en-AU"/>
              </w:rPr>
            </w:pPr>
            <w:r w:rsidRPr="00DB2B77">
              <w:rPr>
                <w:rFonts w:asciiTheme="minorHAnsi" w:eastAsia="Times New Roman" w:hAnsiTheme="minorHAnsi" w:cstheme="minorHAnsi"/>
                <w:w w:val="100"/>
                <w:kern w:val="0"/>
                <w:sz w:val="19"/>
                <w:szCs w:val="19"/>
                <w:lang w:eastAsia="en-AU"/>
              </w:rPr>
              <w:t>Non-compliance constitutes contempt.</w:t>
            </w:r>
          </w:p>
        </w:tc>
        <w:tc>
          <w:tcPr>
            <w:tcW w:w="504" w:type="pct"/>
            <w:tcBorders>
              <w:top w:val="single" w:sz="4" w:space="0" w:color="auto"/>
              <w:left w:val="nil"/>
              <w:bottom w:val="single" w:sz="4" w:space="0" w:color="auto"/>
              <w:right w:val="nil"/>
            </w:tcBorders>
            <w:vAlign w:val="top"/>
          </w:tcPr>
          <w:p w14:paraId="5EA35282" w14:textId="77777777" w:rsidR="00030303" w:rsidRPr="00DB2B77" w:rsidRDefault="00030303" w:rsidP="00030303">
            <w:pPr>
              <w:spacing w:before="60" w:after="60" w:line="240" w:lineRule="atLeast"/>
              <w:rPr>
                <w:rFonts w:asciiTheme="minorHAnsi" w:eastAsia="Times New Roman" w:hAnsiTheme="minorHAnsi" w:cstheme="minorHAnsi"/>
                <w:w w:val="100"/>
                <w:kern w:val="0"/>
                <w:sz w:val="19"/>
                <w:szCs w:val="19"/>
                <w:lang w:eastAsia="en-AU"/>
              </w:rPr>
            </w:pPr>
            <w:r w:rsidRPr="00DB2B77">
              <w:rPr>
                <w:rFonts w:asciiTheme="minorHAnsi" w:eastAsia="Times New Roman" w:hAnsiTheme="minorHAnsi" w:cstheme="minorHAnsi"/>
                <w:w w:val="100"/>
                <w:kern w:val="0"/>
                <w:sz w:val="19"/>
                <w:szCs w:val="19"/>
                <w:lang w:eastAsia="en-AU"/>
              </w:rPr>
              <w:lastRenderedPageBreak/>
              <w:t xml:space="preserve">A Commission may, in the public interest or to prevent undue prejudice or hardship to any person, make an order forbidding the publication of </w:t>
            </w:r>
            <w:r w:rsidRPr="00DB2B77">
              <w:rPr>
                <w:rFonts w:asciiTheme="minorHAnsi" w:eastAsia="Times New Roman" w:hAnsiTheme="minorHAnsi" w:cstheme="minorHAnsi"/>
                <w:w w:val="100"/>
                <w:kern w:val="0"/>
                <w:sz w:val="19"/>
                <w:szCs w:val="19"/>
                <w:lang w:eastAsia="en-AU"/>
              </w:rPr>
              <w:lastRenderedPageBreak/>
              <w:t xml:space="preserve">evidence (s 16A(1)(b)). </w:t>
            </w:r>
          </w:p>
          <w:p w14:paraId="3AA12CDA" w14:textId="77777777" w:rsidR="00030303" w:rsidRPr="00DB2B77" w:rsidRDefault="00030303" w:rsidP="00030303">
            <w:pPr>
              <w:spacing w:before="60" w:after="60" w:line="240" w:lineRule="atLeast"/>
              <w:rPr>
                <w:rFonts w:asciiTheme="minorHAnsi" w:eastAsia="Times New Roman" w:hAnsiTheme="minorHAnsi" w:cstheme="minorHAnsi"/>
                <w:w w:val="100"/>
                <w:kern w:val="0"/>
                <w:sz w:val="19"/>
                <w:szCs w:val="19"/>
                <w:lang w:eastAsia="en-AU"/>
              </w:rPr>
            </w:pPr>
            <w:r w:rsidRPr="00DB2B77">
              <w:rPr>
                <w:rFonts w:asciiTheme="minorHAnsi" w:eastAsia="Times New Roman" w:hAnsiTheme="minorHAnsi" w:cstheme="minorHAnsi"/>
                <w:w w:val="100"/>
                <w:kern w:val="0"/>
                <w:sz w:val="19"/>
                <w:szCs w:val="19"/>
                <w:lang w:eastAsia="en-AU"/>
              </w:rPr>
              <w:t>Offence provisions apply for non</w:t>
            </w:r>
            <w:r w:rsidRPr="00DB2B77">
              <w:rPr>
                <w:rFonts w:asciiTheme="minorHAnsi" w:eastAsia="Times New Roman" w:hAnsiTheme="minorHAnsi" w:cstheme="minorHAnsi"/>
                <w:w w:val="100"/>
                <w:kern w:val="0"/>
                <w:sz w:val="19"/>
                <w:szCs w:val="19"/>
                <w:lang w:eastAsia="en-AU"/>
              </w:rPr>
              <w:noBreakHyphen/>
              <w:t>compliance.</w:t>
            </w:r>
          </w:p>
          <w:p w14:paraId="5442890D" w14:textId="77777777" w:rsidR="00030303" w:rsidRPr="00DB2B77" w:rsidRDefault="00030303" w:rsidP="00030303">
            <w:pPr>
              <w:spacing w:before="60" w:after="60" w:line="240" w:lineRule="atLeast"/>
              <w:rPr>
                <w:rFonts w:asciiTheme="minorHAnsi" w:eastAsia="Times New Roman" w:hAnsiTheme="minorHAnsi" w:cstheme="minorHAnsi"/>
                <w:w w:val="100"/>
                <w:kern w:val="0"/>
                <w:sz w:val="19"/>
                <w:szCs w:val="19"/>
                <w:lang w:eastAsia="en-AU"/>
              </w:rPr>
            </w:pPr>
          </w:p>
        </w:tc>
        <w:tc>
          <w:tcPr>
            <w:tcW w:w="504" w:type="pct"/>
            <w:tcBorders>
              <w:top w:val="single" w:sz="4" w:space="0" w:color="auto"/>
              <w:left w:val="nil"/>
              <w:bottom w:val="single" w:sz="4" w:space="0" w:color="auto"/>
              <w:right w:val="nil"/>
            </w:tcBorders>
            <w:vAlign w:val="top"/>
            <w:hideMark/>
          </w:tcPr>
          <w:p w14:paraId="17909A1B" w14:textId="77777777" w:rsidR="00030303" w:rsidRPr="00DB2B77" w:rsidRDefault="00030303" w:rsidP="00030303">
            <w:pPr>
              <w:spacing w:before="60" w:after="60" w:line="240" w:lineRule="atLeast"/>
              <w:rPr>
                <w:rFonts w:asciiTheme="minorHAnsi" w:eastAsia="Times New Roman" w:hAnsiTheme="minorHAnsi" w:cstheme="minorHAnsi"/>
                <w:w w:val="100"/>
                <w:kern w:val="0"/>
                <w:sz w:val="19"/>
                <w:szCs w:val="19"/>
                <w:lang w:eastAsia="en-AU"/>
              </w:rPr>
            </w:pPr>
            <w:r w:rsidRPr="00DB2B77">
              <w:rPr>
                <w:rFonts w:asciiTheme="minorHAnsi" w:eastAsia="Times New Roman" w:hAnsiTheme="minorHAnsi" w:cstheme="minorHAnsi"/>
                <w:w w:val="100"/>
                <w:kern w:val="0"/>
                <w:sz w:val="19"/>
                <w:szCs w:val="19"/>
                <w:lang w:eastAsia="en-AU"/>
              </w:rPr>
              <w:lastRenderedPageBreak/>
              <w:t xml:space="preserve">A Commission may, by order, prohibit or restrict the public reporting of a hearing or the publishing of any evidence taken or received by it, if the public interest of </w:t>
            </w:r>
            <w:r w:rsidRPr="00DB2B77">
              <w:rPr>
                <w:rFonts w:asciiTheme="minorHAnsi" w:eastAsia="Times New Roman" w:hAnsiTheme="minorHAnsi" w:cstheme="minorHAnsi"/>
                <w:w w:val="100"/>
                <w:kern w:val="0"/>
                <w:sz w:val="19"/>
                <w:szCs w:val="19"/>
                <w:lang w:eastAsia="en-AU"/>
              </w:rPr>
              <w:lastRenderedPageBreak/>
              <w:t xml:space="preserve">publication is outweighed by any other consideration (s 14(1)). </w:t>
            </w:r>
          </w:p>
          <w:p w14:paraId="2174C43E" w14:textId="77777777" w:rsidR="00030303" w:rsidRPr="00DB2B77" w:rsidRDefault="00030303" w:rsidP="00030303">
            <w:pPr>
              <w:spacing w:before="60" w:after="60" w:line="240" w:lineRule="atLeast"/>
              <w:rPr>
                <w:rFonts w:asciiTheme="minorHAnsi" w:eastAsia="Times New Roman" w:hAnsiTheme="minorHAnsi" w:cstheme="minorHAnsi"/>
                <w:w w:val="100"/>
                <w:kern w:val="0"/>
                <w:sz w:val="19"/>
                <w:szCs w:val="19"/>
                <w:highlight w:val="yellow"/>
                <w:lang w:eastAsia="en-AU"/>
              </w:rPr>
            </w:pPr>
            <w:r w:rsidRPr="00DB2B77">
              <w:rPr>
                <w:rFonts w:asciiTheme="minorHAnsi" w:eastAsia="Times New Roman" w:hAnsiTheme="minorHAnsi" w:cstheme="minorHAnsi"/>
                <w:w w:val="100"/>
                <w:kern w:val="0"/>
                <w:sz w:val="19"/>
                <w:szCs w:val="19"/>
                <w:lang w:eastAsia="en-AU"/>
              </w:rPr>
              <w:t>Offence provisions apply for non</w:t>
            </w:r>
            <w:r w:rsidRPr="00DB2B77">
              <w:rPr>
                <w:rFonts w:asciiTheme="minorHAnsi" w:eastAsia="Times New Roman" w:hAnsiTheme="minorHAnsi" w:cstheme="minorHAnsi"/>
                <w:w w:val="100"/>
                <w:kern w:val="0"/>
                <w:sz w:val="19"/>
                <w:szCs w:val="19"/>
                <w:lang w:eastAsia="en-AU"/>
              </w:rPr>
              <w:noBreakHyphen/>
              <w:t>compliance.</w:t>
            </w:r>
          </w:p>
        </w:tc>
        <w:tc>
          <w:tcPr>
            <w:tcW w:w="503" w:type="pct"/>
            <w:tcBorders>
              <w:top w:val="single" w:sz="4" w:space="0" w:color="auto"/>
              <w:left w:val="nil"/>
              <w:bottom w:val="single" w:sz="4" w:space="0" w:color="auto"/>
              <w:right w:val="nil"/>
            </w:tcBorders>
            <w:vAlign w:val="top"/>
            <w:hideMark/>
          </w:tcPr>
          <w:p w14:paraId="17994E7A" w14:textId="77777777" w:rsidR="00030303" w:rsidRPr="00DB2B77" w:rsidRDefault="00030303" w:rsidP="00030303">
            <w:pPr>
              <w:spacing w:before="60" w:after="60" w:line="240" w:lineRule="atLeast"/>
              <w:rPr>
                <w:rFonts w:asciiTheme="minorHAnsi" w:eastAsia="Times New Roman" w:hAnsiTheme="minorHAnsi" w:cstheme="minorHAnsi"/>
                <w:w w:val="100"/>
                <w:kern w:val="0"/>
                <w:sz w:val="19"/>
                <w:szCs w:val="19"/>
                <w:lang w:eastAsia="en-AU"/>
              </w:rPr>
            </w:pPr>
            <w:r w:rsidRPr="00DB2B77">
              <w:rPr>
                <w:rFonts w:asciiTheme="minorHAnsi" w:eastAsia="Times New Roman" w:hAnsiTheme="minorHAnsi" w:cstheme="minorHAnsi"/>
                <w:w w:val="100"/>
                <w:kern w:val="0"/>
                <w:sz w:val="19"/>
                <w:szCs w:val="19"/>
                <w:lang w:eastAsia="en-AU"/>
              </w:rPr>
              <w:lastRenderedPageBreak/>
              <w:t xml:space="preserve">A Commissioner may make an order (on grounds including that the Commissioner considers the prohibition or restriction appropriate: s 26(2)(e)) </w:t>
            </w:r>
            <w:r w:rsidRPr="00DB2B77">
              <w:rPr>
                <w:rFonts w:asciiTheme="minorHAnsi" w:eastAsia="Times New Roman" w:hAnsiTheme="minorHAnsi" w:cstheme="minorHAnsi"/>
                <w:w w:val="100"/>
                <w:kern w:val="0"/>
                <w:sz w:val="19"/>
                <w:szCs w:val="19"/>
                <w:lang w:eastAsia="en-AU"/>
              </w:rPr>
              <w:lastRenderedPageBreak/>
              <w:t>prohibiting or restricting publication of any information or evidence given to the Commission for the purposes of the inquiry (s 26(1)(b)).</w:t>
            </w:r>
          </w:p>
          <w:p w14:paraId="6F644A87" w14:textId="77777777" w:rsidR="00030303" w:rsidRPr="00DB2B77" w:rsidRDefault="00030303" w:rsidP="00030303">
            <w:pPr>
              <w:spacing w:before="60" w:after="60" w:line="240" w:lineRule="atLeast"/>
              <w:rPr>
                <w:rFonts w:asciiTheme="minorHAnsi" w:eastAsia="Times New Roman" w:hAnsiTheme="minorHAnsi" w:cstheme="minorHAnsi"/>
                <w:w w:val="100"/>
                <w:kern w:val="0"/>
                <w:sz w:val="19"/>
                <w:szCs w:val="19"/>
                <w:lang w:eastAsia="en-AU"/>
              </w:rPr>
            </w:pPr>
            <w:r w:rsidRPr="00DB2B77">
              <w:rPr>
                <w:rFonts w:asciiTheme="minorHAnsi" w:eastAsia="Times New Roman" w:hAnsiTheme="minorHAnsi" w:cstheme="minorHAnsi"/>
                <w:w w:val="100"/>
                <w:kern w:val="0"/>
                <w:sz w:val="19"/>
                <w:szCs w:val="19"/>
                <w:lang w:eastAsia="en-AU"/>
              </w:rPr>
              <w:t>Offence provisions apply for non</w:t>
            </w:r>
            <w:r w:rsidRPr="00DB2B77">
              <w:rPr>
                <w:rFonts w:asciiTheme="minorHAnsi" w:eastAsia="Times New Roman" w:hAnsiTheme="minorHAnsi" w:cstheme="minorHAnsi"/>
                <w:w w:val="100"/>
                <w:kern w:val="0"/>
                <w:sz w:val="19"/>
                <w:szCs w:val="19"/>
                <w:lang w:eastAsia="en-AU"/>
              </w:rPr>
              <w:noBreakHyphen/>
              <w:t>compliance.</w:t>
            </w:r>
          </w:p>
          <w:p w14:paraId="758BFD53" w14:textId="77777777" w:rsidR="00030303" w:rsidRPr="00DB2B77" w:rsidRDefault="00030303" w:rsidP="00030303">
            <w:pPr>
              <w:spacing w:before="60" w:after="60" w:line="240" w:lineRule="atLeast"/>
              <w:rPr>
                <w:rFonts w:asciiTheme="minorHAnsi" w:eastAsia="Times New Roman" w:hAnsiTheme="minorHAnsi" w:cstheme="minorHAnsi"/>
                <w:w w:val="100"/>
                <w:kern w:val="0"/>
                <w:sz w:val="19"/>
                <w:szCs w:val="19"/>
                <w:highlight w:val="yellow"/>
                <w:lang w:eastAsia="en-AU"/>
              </w:rPr>
            </w:pPr>
            <w:r w:rsidRPr="00DB2B77">
              <w:rPr>
                <w:rFonts w:asciiTheme="minorHAnsi" w:eastAsia="Times New Roman" w:hAnsiTheme="minorHAnsi" w:cstheme="minorHAnsi"/>
                <w:w w:val="100"/>
                <w:kern w:val="0"/>
                <w:sz w:val="19"/>
                <w:szCs w:val="19"/>
                <w:lang w:eastAsia="en-AU"/>
              </w:rPr>
              <w:t>Equivalent provisions apply in respect of Boards of Inquiry (s 73) and Formal Reviews (s 106).</w:t>
            </w:r>
          </w:p>
        </w:tc>
        <w:tc>
          <w:tcPr>
            <w:tcW w:w="503" w:type="pct"/>
            <w:tcBorders>
              <w:top w:val="single" w:sz="4" w:space="0" w:color="auto"/>
              <w:left w:val="nil"/>
              <w:bottom w:val="single" w:sz="4" w:space="0" w:color="auto"/>
              <w:right w:val="single" w:sz="4" w:space="0" w:color="auto"/>
            </w:tcBorders>
            <w:vAlign w:val="top"/>
            <w:hideMark/>
          </w:tcPr>
          <w:p w14:paraId="168242BB" w14:textId="77777777" w:rsidR="00030303" w:rsidRPr="00DB2B77" w:rsidRDefault="00030303" w:rsidP="00030303">
            <w:pPr>
              <w:spacing w:before="60" w:after="60" w:line="240" w:lineRule="atLeast"/>
              <w:rPr>
                <w:rFonts w:asciiTheme="minorHAnsi" w:eastAsia="Times New Roman" w:hAnsiTheme="minorHAnsi" w:cstheme="minorHAnsi"/>
                <w:w w:val="100"/>
                <w:kern w:val="0"/>
                <w:sz w:val="19"/>
                <w:szCs w:val="19"/>
                <w:lang w:eastAsia="en-AU"/>
              </w:rPr>
            </w:pPr>
            <w:r w:rsidRPr="00DB2B77">
              <w:rPr>
                <w:rFonts w:asciiTheme="minorHAnsi" w:eastAsia="Times New Roman" w:hAnsiTheme="minorHAnsi" w:cstheme="minorHAnsi"/>
                <w:w w:val="100"/>
                <w:kern w:val="0"/>
                <w:sz w:val="19"/>
                <w:szCs w:val="19"/>
                <w:lang w:eastAsia="en-AU"/>
              </w:rPr>
              <w:lastRenderedPageBreak/>
              <w:t>N/A</w:t>
            </w:r>
            <w:r w:rsidRPr="00DB2B77">
              <w:rPr>
                <w:rFonts w:asciiTheme="minorHAnsi" w:eastAsia="Times New Roman" w:hAnsiTheme="minorHAnsi" w:cstheme="minorHAnsi"/>
                <w:w w:val="100"/>
                <w:kern w:val="0"/>
                <w:sz w:val="19"/>
                <w:szCs w:val="19"/>
                <w:vertAlign w:val="superscript"/>
                <w:lang w:eastAsia="en-AU"/>
              </w:rPr>
              <w:footnoteReference w:id="23"/>
            </w:r>
          </w:p>
        </w:tc>
      </w:tr>
      <w:tr w:rsidR="00030303" w:rsidRPr="00DB2B77" w14:paraId="031B5D29" w14:textId="77777777" w:rsidTr="00030303">
        <w:tc>
          <w:tcPr>
            <w:tcW w:w="467" w:type="pct"/>
            <w:tcBorders>
              <w:top w:val="single" w:sz="4" w:space="0" w:color="auto"/>
              <w:left w:val="single" w:sz="4" w:space="0" w:color="auto"/>
              <w:bottom w:val="single" w:sz="4" w:space="0" w:color="auto"/>
              <w:right w:val="nil"/>
            </w:tcBorders>
            <w:vAlign w:val="top"/>
            <w:hideMark/>
          </w:tcPr>
          <w:p w14:paraId="18FBD937" w14:textId="77777777" w:rsidR="00030303" w:rsidRPr="00DB2B77" w:rsidRDefault="00030303" w:rsidP="00030303">
            <w:pPr>
              <w:spacing w:before="60" w:after="60" w:line="240" w:lineRule="atLeast"/>
              <w:rPr>
                <w:rFonts w:asciiTheme="minorHAnsi" w:eastAsia="Times New Roman" w:hAnsiTheme="minorHAnsi" w:cstheme="minorHAnsi"/>
                <w:b/>
                <w:w w:val="100"/>
                <w:kern w:val="0"/>
                <w:sz w:val="19"/>
                <w:szCs w:val="19"/>
                <w:lang w:eastAsia="en-AU"/>
              </w:rPr>
            </w:pPr>
            <w:r w:rsidRPr="00DB2B77">
              <w:rPr>
                <w:rFonts w:asciiTheme="minorHAnsi" w:eastAsia="Times New Roman" w:hAnsiTheme="minorHAnsi" w:cstheme="minorHAnsi"/>
                <w:b/>
                <w:w w:val="100"/>
                <w:kern w:val="0"/>
                <w:sz w:val="19"/>
                <w:szCs w:val="19"/>
                <w:lang w:eastAsia="en-AU"/>
              </w:rPr>
              <w:lastRenderedPageBreak/>
              <w:t>Specific powers to prohibit publication of witness’s name or identifying material</w:t>
            </w:r>
            <w:r w:rsidRPr="00DB2B77">
              <w:rPr>
                <w:rFonts w:asciiTheme="minorHAnsi" w:eastAsia="Times New Roman" w:hAnsiTheme="minorHAnsi" w:cstheme="minorHAnsi"/>
                <w:w w:val="100"/>
                <w:kern w:val="0"/>
                <w:sz w:val="19"/>
                <w:szCs w:val="19"/>
                <w:vertAlign w:val="superscript"/>
                <w:lang w:eastAsia="en-AU"/>
              </w:rPr>
              <w:footnoteReference w:id="24"/>
            </w:r>
          </w:p>
        </w:tc>
        <w:tc>
          <w:tcPr>
            <w:tcW w:w="503" w:type="pct"/>
            <w:tcBorders>
              <w:top w:val="single" w:sz="4" w:space="0" w:color="auto"/>
              <w:left w:val="nil"/>
              <w:bottom w:val="single" w:sz="4" w:space="0" w:color="auto"/>
              <w:right w:val="nil"/>
            </w:tcBorders>
            <w:shd w:val="clear" w:color="auto" w:fill="D9D9D9"/>
            <w:vAlign w:val="top"/>
            <w:hideMark/>
          </w:tcPr>
          <w:p w14:paraId="10C8DF09" w14:textId="77777777" w:rsidR="00030303" w:rsidRPr="00DB2B77" w:rsidRDefault="00030303" w:rsidP="00030303">
            <w:pPr>
              <w:spacing w:before="60" w:after="60" w:line="240" w:lineRule="atLeast"/>
              <w:rPr>
                <w:rFonts w:asciiTheme="minorHAnsi" w:eastAsia="Times New Roman" w:hAnsiTheme="minorHAnsi" w:cstheme="minorHAnsi"/>
                <w:w w:val="100"/>
                <w:kern w:val="0"/>
                <w:sz w:val="19"/>
                <w:szCs w:val="19"/>
                <w:lang w:eastAsia="en-AU"/>
              </w:rPr>
            </w:pPr>
            <w:r w:rsidRPr="00DB2B77">
              <w:rPr>
                <w:rFonts w:asciiTheme="minorHAnsi" w:eastAsia="Times New Roman" w:hAnsiTheme="minorHAnsi" w:cstheme="minorHAnsi"/>
                <w:w w:val="100"/>
                <w:kern w:val="0"/>
                <w:sz w:val="19"/>
                <w:szCs w:val="19"/>
                <w:lang w:eastAsia="en-AU"/>
              </w:rPr>
              <w:t xml:space="preserve">A Commission may direct that any information that might enable a person who has given evidence before the Commission to be identified must not be published or may only be published in </w:t>
            </w:r>
            <w:r w:rsidRPr="00DB2B77">
              <w:rPr>
                <w:rFonts w:asciiTheme="minorHAnsi" w:eastAsia="Times New Roman" w:hAnsiTheme="minorHAnsi" w:cstheme="minorHAnsi"/>
                <w:w w:val="100"/>
                <w:kern w:val="0"/>
                <w:sz w:val="19"/>
                <w:szCs w:val="19"/>
                <w:lang w:eastAsia="en-AU"/>
              </w:rPr>
              <w:lastRenderedPageBreak/>
              <w:t>specified circumstances (s 6D(3)(c)).</w:t>
            </w:r>
          </w:p>
          <w:p w14:paraId="05211DC3" w14:textId="77777777" w:rsidR="00030303" w:rsidRPr="00DB2B77" w:rsidRDefault="00030303" w:rsidP="00030303">
            <w:pPr>
              <w:spacing w:before="60" w:after="60" w:line="240" w:lineRule="atLeast"/>
              <w:rPr>
                <w:rFonts w:asciiTheme="minorHAnsi" w:eastAsia="Times New Roman" w:hAnsiTheme="minorHAnsi" w:cstheme="minorHAnsi"/>
                <w:i/>
                <w:w w:val="100"/>
                <w:kern w:val="0"/>
                <w:sz w:val="19"/>
                <w:szCs w:val="19"/>
                <w:lang w:eastAsia="en-AU"/>
              </w:rPr>
            </w:pPr>
            <w:r w:rsidRPr="00DB2B77">
              <w:rPr>
                <w:rFonts w:asciiTheme="minorHAnsi" w:eastAsia="Times New Roman" w:hAnsiTheme="minorHAnsi" w:cstheme="minorHAnsi"/>
                <w:w w:val="100"/>
                <w:kern w:val="0"/>
                <w:sz w:val="19"/>
                <w:szCs w:val="19"/>
                <w:lang w:eastAsia="en-AU"/>
              </w:rPr>
              <w:t>Offence provisions apply for non</w:t>
            </w:r>
            <w:r w:rsidRPr="00DB2B77">
              <w:rPr>
                <w:rFonts w:asciiTheme="minorHAnsi" w:eastAsia="Times New Roman" w:hAnsiTheme="minorHAnsi" w:cstheme="minorHAnsi"/>
                <w:w w:val="100"/>
                <w:kern w:val="0"/>
                <w:sz w:val="19"/>
                <w:szCs w:val="19"/>
                <w:lang w:eastAsia="en-AU"/>
              </w:rPr>
              <w:noBreakHyphen/>
              <w:t>compliance.</w:t>
            </w:r>
          </w:p>
        </w:tc>
        <w:tc>
          <w:tcPr>
            <w:tcW w:w="504" w:type="pct"/>
            <w:tcBorders>
              <w:top w:val="single" w:sz="4" w:space="0" w:color="auto"/>
              <w:left w:val="nil"/>
              <w:bottom w:val="single" w:sz="4" w:space="0" w:color="auto"/>
              <w:right w:val="nil"/>
            </w:tcBorders>
            <w:vAlign w:val="top"/>
            <w:hideMark/>
          </w:tcPr>
          <w:p w14:paraId="627F6BDF" w14:textId="77777777" w:rsidR="00030303" w:rsidRPr="00DB2B77" w:rsidRDefault="00030303" w:rsidP="00030303">
            <w:pPr>
              <w:spacing w:before="60" w:after="60" w:line="240" w:lineRule="atLeast"/>
              <w:rPr>
                <w:rFonts w:asciiTheme="minorHAnsi" w:eastAsia="Times New Roman" w:hAnsiTheme="minorHAnsi" w:cstheme="minorHAnsi"/>
                <w:w w:val="100"/>
                <w:kern w:val="0"/>
                <w:sz w:val="19"/>
                <w:szCs w:val="19"/>
                <w:lang w:eastAsia="en-AU"/>
              </w:rPr>
            </w:pPr>
            <w:r w:rsidRPr="00DB2B77">
              <w:rPr>
                <w:rFonts w:asciiTheme="minorHAnsi" w:eastAsia="Times New Roman" w:hAnsiTheme="minorHAnsi" w:cstheme="minorHAnsi"/>
                <w:w w:val="100"/>
                <w:kern w:val="0"/>
                <w:sz w:val="19"/>
                <w:szCs w:val="19"/>
                <w:lang w:eastAsia="en-AU"/>
              </w:rPr>
              <w:lastRenderedPageBreak/>
              <w:t>N/A</w:t>
            </w:r>
            <w:r w:rsidRPr="00DB2B77">
              <w:rPr>
                <w:rFonts w:asciiTheme="minorHAnsi" w:eastAsia="Times New Roman" w:hAnsiTheme="minorHAnsi" w:cstheme="minorHAnsi"/>
                <w:w w:val="100"/>
                <w:kern w:val="0"/>
                <w:sz w:val="19"/>
                <w:szCs w:val="19"/>
                <w:vertAlign w:val="superscript"/>
                <w:lang w:eastAsia="en-AU"/>
              </w:rPr>
              <w:footnoteReference w:id="25"/>
            </w:r>
            <w:r w:rsidRPr="00DB2B77">
              <w:rPr>
                <w:rFonts w:asciiTheme="minorHAnsi" w:eastAsia="Times New Roman" w:hAnsiTheme="minorHAnsi" w:cstheme="minorHAnsi"/>
                <w:w w:val="100"/>
                <w:kern w:val="0"/>
                <w:sz w:val="19"/>
                <w:szCs w:val="19"/>
                <w:lang w:eastAsia="en-AU"/>
              </w:rPr>
              <w:t xml:space="preserve"> </w:t>
            </w:r>
          </w:p>
        </w:tc>
        <w:tc>
          <w:tcPr>
            <w:tcW w:w="504" w:type="pct"/>
            <w:tcBorders>
              <w:top w:val="single" w:sz="4" w:space="0" w:color="auto"/>
              <w:left w:val="nil"/>
              <w:bottom w:val="single" w:sz="4" w:space="0" w:color="auto"/>
              <w:right w:val="nil"/>
            </w:tcBorders>
            <w:vAlign w:val="top"/>
            <w:hideMark/>
          </w:tcPr>
          <w:p w14:paraId="4D5A4664" w14:textId="77777777" w:rsidR="00030303" w:rsidRPr="00DB2B77" w:rsidRDefault="00030303" w:rsidP="00030303">
            <w:pPr>
              <w:spacing w:before="60" w:after="60" w:line="240" w:lineRule="atLeast"/>
              <w:rPr>
                <w:rFonts w:asciiTheme="minorHAnsi" w:eastAsia="Times New Roman" w:hAnsiTheme="minorHAnsi" w:cstheme="minorHAnsi"/>
                <w:b/>
                <w:w w:val="100"/>
                <w:kern w:val="0"/>
                <w:sz w:val="19"/>
                <w:szCs w:val="19"/>
                <w:lang w:eastAsia="en-AU"/>
              </w:rPr>
            </w:pPr>
            <w:r w:rsidRPr="00DB2B77">
              <w:rPr>
                <w:rFonts w:asciiTheme="minorHAnsi" w:eastAsia="Times New Roman" w:hAnsiTheme="minorHAnsi" w:cstheme="minorHAnsi"/>
                <w:w w:val="100"/>
                <w:kern w:val="0"/>
                <w:sz w:val="19"/>
                <w:szCs w:val="19"/>
                <w:lang w:eastAsia="en-AU"/>
              </w:rPr>
              <w:t>N/A</w:t>
            </w:r>
          </w:p>
        </w:tc>
        <w:tc>
          <w:tcPr>
            <w:tcW w:w="504" w:type="pct"/>
            <w:tcBorders>
              <w:top w:val="single" w:sz="4" w:space="0" w:color="auto"/>
              <w:left w:val="nil"/>
              <w:bottom w:val="single" w:sz="4" w:space="0" w:color="auto"/>
              <w:right w:val="nil"/>
            </w:tcBorders>
            <w:vAlign w:val="top"/>
            <w:hideMark/>
          </w:tcPr>
          <w:p w14:paraId="1B4B5840" w14:textId="77777777" w:rsidR="00030303" w:rsidRPr="00DB2B77" w:rsidRDefault="00030303" w:rsidP="00030303">
            <w:pPr>
              <w:spacing w:before="60" w:after="60" w:line="240" w:lineRule="atLeast"/>
              <w:rPr>
                <w:rFonts w:asciiTheme="minorHAnsi" w:eastAsia="Times New Roman" w:hAnsiTheme="minorHAnsi" w:cstheme="minorHAnsi"/>
                <w:b/>
                <w:w w:val="100"/>
                <w:kern w:val="0"/>
                <w:sz w:val="19"/>
                <w:szCs w:val="19"/>
                <w:lang w:eastAsia="en-AU"/>
              </w:rPr>
            </w:pPr>
            <w:r w:rsidRPr="00DB2B77">
              <w:rPr>
                <w:rFonts w:asciiTheme="minorHAnsi" w:eastAsia="Times New Roman" w:hAnsiTheme="minorHAnsi" w:cstheme="minorHAnsi"/>
                <w:w w:val="100"/>
                <w:kern w:val="0"/>
                <w:sz w:val="19"/>
                <w:szCs w:val="19"/>
                <w:lang w:eastAsia="en-AU"/>
              </w:rPr>
              <w:t>N/A</w:t>
            </w:r>
          </w:p>
        </w:tc>
        <w:tc>
          <w:tcPr>
            <w:tcW w:w="504" w:type="pct"/>
            <w:tcBorders>
              <w:top w:val="single" w:sz="4" w:space="0" w:color="auto"/>
              <w:left w:val="nil"/>
              <w:bottom w:val="single" w:sz="4" w:space="0" w:color="auto"/>
              <w:right w:val="nil"/>
            </w:tcBorders>
            <w:vAlign w:val="top"/>
            <w:hideMark/>
          </w:tcPr>
          <w:p w14:paraId="348554A2" w14:textId="77777777" w:rsidR="00030303" w:rsidRPr="00DB2B77" w:rsidRDefault="00030303" w:rsidP="00030303">
            <w:pPr>
              <w:spacing w:before="60" w:after="60" w:line="240" w:lineRule="atLeast"/>
              <w:rPr>
                <w:rFonts w:asciiTheme="minorHAnsi" w:eastAsia="Times New Roman" w:hAnsiTheme="minorHAnsi" w:cstheme="minorHAnsi"/>
                <w:b/>
                <w:w w:val="100"/>
                <w:kern w:val="0"/>
                <w:sz w:val="19"/>
                <w:szCs w:val="19"/>
                <w:lang w:eastAsia="en-AU"/>
              </w:rPr>
            </w:pPr>
            <w:r w:rsidRPr="00DB2B77">
              <w:rPr>
                <w:rFonts w:asciiTheme="minorHAnsi" w:eastAsia="Times New Roman" w:hAnsiTheme="minorHAnsi" w:cstheme="minorHAnsi"/>
                <w:w w:val="100"/>
                <w:kern w:val="0"/>
                <w:sz w:val="19"/>
                <w:szCs w:val="19"/>
                <w:lang w:eastAsia="en-AU"/>
              </w:rPr>
              <w:t>N/A</w:t>
            </w:r>
          </w:p>
        </w:tc>
        <w:tc>
          <w:tcPr>
            <w:tcW w:w="504" w:type="pct"/>
            <w:tcBorders>
              <w:top w:val="single" w:sz="4" w:space="0" w:color="auto"/>
              <w:left w:val="nil"/>
              <w:bottom w:val="single" w:sz="4" w:space="0" w:color="auto"/>
              <w:right w:val="nil"/>
            </w:tcBorders>
            <w:vAlign w:val="top"/>
            <w:hideMark/>
          </w:tcPr>
          <w:p w14:paraId="7A0CAC54" w14:textId="77777777" w:rsidR="00030303" w:rsidRPr="00DB2B77" w:rsidRDefault="00030303" w:rsidP="00030303">
            <w:pPr>
              <w:spacing w:before="60" w:after="60" w:line="240" w:lineRule="atLeast"/>
              <w:rPr>
                <w:rFonts w:asciiTheme="minorHAnsi" w:eastAsia="Times New Roman" w:hAnsiTheme="minorHAnsi" w:cstheme="minorHAnsi"/>
                <w:w w:val="100"/>
                <w:kern w:val="0"/>
                <w:sz w:val="19"/>
                <w:szCs w:val="19"/>
                <w:lang w:eastAsia="en-AU"/>
              </w:rPr>
            </w:pPr>
            <w:r w:rsidRPr="00DB2B77">
              <w:rPr>
                <w:rFonts w:asciiTheme="minorHAnsi" w:eastAsia="Times New Roman" w:hAnsiTheme="minorHAnsi" w:cstheme="minorHAnsi"/>
                <w:w w:val="100"/>
                <w:kern w:val="0"/>
                <w:sz w:val="19"/>
                <w:szCs w:val="19"/>
                <w:lang w:eastAsia="en-AU"/>
              </w:rPr>
              <w:t xml:space="preserve">A Commission may, in the public interest or to prevent undue prejudice or hardship to any person, make an order forbidding the publication of the name of a witness before the Commission </w:t>
            </w:r>
            <w:r w:rsidRPr="00DB2B77">
              <w:rPr>
                <w:rFonts w:asciiTheme="minorHAnsi" w:eastAsia="Times New Roman" w:hAnsiTheme="minorHAnsi" w:cstheme="minorHAnsi"/>
                <w:w w:val="100"/>
                <w:kern w:val="0"/>
                <w:sz w:val="19"/>
                <w:szCs w:val="19"/>
                <w:lang w:eastAsia="en-AU"/>
              </w:rPr>
              <w:lastRenderedPageBreak/>
              <w:t>or a person alluded to in the course of the inquiry and any other material tending to identify the witness or person (s 16A(1)(c)). Offence provisions apply for non</w:t>
            </w:r>
            <w:r w:rsidRPr="00DB2B77">
              <w:rPr>
                <w:rFonts w:asciiTheme="minorHAnsi" w:eastAsia="Times New Roman" w:hAnsiTheme="minorHAnsi" w:cstheme="minorHAnsi"/>
                <w:w w:val="100"/>
                <w:kern w:val="0"/>
                <w:sz w:val="19"/>
                <w:szCs w:val="19"/>
                <w:lang w:eastAsia="en-AU"/>
              </w:rPr>
              <w:noBreakHyphen/>
              <w:t>compliance.</w:t>
            </w:r>
          </w:p>
        </w:tc>
        <w:tc>
          <w:tcPr>
            <w:tcW w:w="504" w:type="pct"/>
            <w:tcBorders>
              <w:top w:val="single" w:sz="4" w:space="0" w:color="auto"/>
              <w:left w:val="nil"/>
              <w:bottom w:val="single" w:sz="4" w:space="0" w:color="auto"/>
              <w:right w:val="nil"/>
            </w:tcBorders>
            <w:vAlign w:val="top"/>
            <w:hideMark/>
          </w:tcPr>
          <w:p w14:paraId="533C1EC8" w14:textId="77777777" w:rsidR="00030303" w:rsidRPr="00DB2B77" w:rsidRDefault="00030303" w:rsidP="00030303">
            <w:pPr>
              <w:spacing w:before="60" w:after="60" w:line="240" w:lineRule="atLeast"/>
              <w:rPr>
                <w:rFonts w:asciiTheme="minorHAnsi" w:eastAsia="Times New Roman" w:hAnsiTheme="minorHAnsi" w:cstheme="minorHAnsi"/>
                <w:w w:val="100"/>
                <w:kern w:val="0"/>
                <w:sz w:val="19"/>
                <w:szCs w:val="19"/>
                <w:lang w:eastAsia="en-AU"/>
              </w:rPr>
            </w:pPr>
            <w:r w:rsidRPr="00DB2B77">
              <w:rPr>
                <w:rFonts w:asciiTheme="minorHAnsi" w:eastAsia="Times New Roman" w:hAnsiTheme="minorHAnsi" w:cstheme="minorHAnsi"/>
                <w:w w:val="100"/>
                <w:kern w:val="0"/>
                <w:sz w:val="19"/>
                <w:szCs w:val="19"/>
                <w:lang w:eastAsia="en-AU"/>
              </w:rPr>
              <w:lastRenderedPageBreak/>
              <w:t xml:space="preserve">A Commission may, if satisfied it is necessary, permit a person to give evidence anonymously or under a pseudonym, or use any means it considers appropriate to prevent the identification of </w:t>
            </w:r>
            <w:r w:rsidRPr="00DB2B77">
              <w:rPr>
                <w:rFonts w:asciiTheme="minorHAnsi" w:eastAsia="Times New Roman" w:hAnsiTheme="minorHAnsi" w:cstheme="minorHAnsi"/>
                <w:w w:val="100"/>
                <w:kern w:val="0"/>
                <w:sz w:val="19"/>
                <w:szCs w:val="19"/>
                <w:lang w:eastAsia="en-AU"/>
              </w:rPr>
              <w:lastRenderedPageBreak/>
              <w:t>the person (s 23B(a)-(b)).</w:t>
            </w:r>
          </w:p>
        </w:tc>
        <w:tc>
          <w:tcPr>
            <w:tcW w:w="503" w:type="pct"/>
            <w:tcBorders>
              <w:top w:val="single" w:sz="4" w:space="0" w:color="auto"/>
              <w:left w:val="nil"/>
              <w:bottom w:val="single" w:sz="4" w:space="0" w:color="auto"/>
              <w:right w:val="nil"/>
            </w:tcBorders>
            <w:vAlign w:val="top"/>
            <w:hideMark/>
          </w:tcPr>
          <w:p w14:paraId="4475B9B2" w14:textId="77777777" w:rsidR="00030303" w:rsidRPr="00DB2B77" w:rsidRDefault="00030303" w:rsidP="00030303">
            <w:pPr>
              <w:spacing w:before="60" w:after="60" w:line="240" w:lineRule="atLeast"/>
              <w:rPr>
                <w:rFonts w:asciiTheme="minorHAnsi" w:eastAsia="Times New Roman" w:hAnsiTheme="minorHAnsi" w:cstheme="minorHAnsi"/>
                <w:w w:val="100"/>
                <w:kern w:val="0"/>
                <w:sz w:val="19"/>
                <w:szCs w:val="19"/>
                <w:lang w:eastAsia="en-AU"/>
              </w:rPr>
            </w:pPr>
            <w:r w:rsidRPr="00DB2B77">
              <w:rPr>
                <w:rFonts w:asciiTheme="minorHAnsi" w:eastAsia="Times New Roman" w:hAnsiTheme="minorHAnsi" w:cstheme="minorHAnsi"/>
                <w:w w:val="100"/>
                <w:kern w:val="0"/>
                <w:sz w:val="19"/>
                <w:szCs w:val="19"/>
                <w:lang w:eastAsia="en-AU"/>
              </w:rPr>
              <w:lastRenderedPageBreak/>
              <w:t xml:space="preserve">A Commissioner may make an order (on grounds including that the Commissioner considers the prohibition or restriction appropriate: s 26(2)(e)) prohibiting or </w:t>
            </w:r>
            <w:r w:rsidRPr="00DB2B77">
              <w:rPr>
                <w:rFonts w:asciiTheme="minorHAnsi" w:eastAsia="Times New Roman" w:hAnsiTheme="minorHAnsi" w:cstheme="minorHAnsi"/>
                <w:w w:val="100"/>
                <w:kern w:val="0"/>
                <w:sz w:val="19"/>
                <w:szCs w:val="19"/>
                <w:lang w:eastAsia="en-AU"/>
              </w:rPr>
              <w:lastRenderedPageBreak/>
              <w:t>restricting publication of any information that may enable the identify of a person who has given, or is to give, information to the Commission for the purposes of the inquiry to be ascertained (s 26(1)(a)).</w:t>
            </w:r>
          </w:p>
          <w:p w14:paraId="7361AFBD" w14:textId="77777777" w:rsidR="00030303" w:rsidRPr="00DB2B77" w:rsidRDefault="00030303" w:rsidP="00030303">
            <w:pPr>
              <w:spacing w:before="60" w:after="60" w:line="240" w:lineRule="atLeast"/>
              <w:rPr>
                <w:rFonts w:asciiTheme="minorHAnsi" w:eastAsia="Times New Roman" w:hAnsiTheme="minorHAnsi" w:cstheme="minorHAnsi"/>
                <w:w w:val="100"/>
                <w:kern w:val="0"/>
                <w:sz w:val="19"/>
                <w:szCs w:val="19"/>
                <w:lang w:eastAsia="en-AU"/>
              </w:rPr>
            </w:pPr>
            <w:r w:rsidRPr="00DB2B77">
              <w:rPr>
                <w:rFonts w:asciiTheme="minorHAnsi" w:eastAsia="Times New Roman" w:hAnsiTheme="minorHAnsi" w:cstheme="minorHAnsi"/>
                <w:w w:val="100"/>
                <w:kern w:val="0"/>
                <w:sz w:val="19"/>
                <w:szCs w:val="19"/>
                <w:lang w:eastAsia="en-AU"/>
              </w:rPr>
              <w:t>Offence provisions apply for non</w:t>
            </w:r>
            <w:r w:rsidRPr="00DB2B77">
              <w:rPr>
                <w:rFonts w:asciiTheme="minorHAnsi" w:eastAsia="Times New Roman" w:hAnsiTheme="minorHAnsi" w:cstheme="minorHAnsi"/>
                <w:w w:val="100"/>
                <w:kern w:val="0"/>
                <w:sz w:val="19"/>
                <w:szCs w:val="19"/>
                <w:lang w:eastAsia="en-AU"/>
              </w:rPr>
              <w:noBreakHyphen/>
              <w:t>compliance.</w:t>
            </w:r>
          </w:p>
          <w:p w14:paraId="059FC9D8" w14:textId="77777777" w:rsidR="00030303" w:rsidRPr="00DB2B77" w:rsidRDefault="00030303" w:rsidP="00030303">
            <w:pPr>
              <w:spacing w:before="60" w:after="60" w:line="240" w:lineRule="atLeast"/>
              <w:rPr>
                <w:rFonts w:asciiTheme="minorHAnsi" w:eastAsia="Times New Roman" w:hAnsiTheme="minorHAnsi" w:cstheme="minorHAnsi"/>
                <w:w w:val="100"/>
                <w:kern w:val="0"/>
                <w:sz w:val="19"/>
                <w:szCs w:val="19"/>
                <w:lang w:eastAsia="en-AU"/>
              </w:rPr>
            </w:pPr>
            <w:r w:rsidRPr="00DB2B77">
              <w:rPr>
                <w:rFonts w:asciiTheme="minorHAnsi" w:eastAsia="Times New Roman" w:hAnsiTheme="minorHAnsi" w:cstheme="minorHAnsi"/>
                <w:w w:val="100"/>
                <w:kern w:val="0"/>
                <w:sz w:val="19"/>
                <w:szCs w:val="19"/>
                <w:lang w:eastAsia="en-AU"/>
              </w:rPr>
              <w:t>Equivalent provisions apply in respect of Boards of Inquiry (s 73) and Formal Reviews (s 106).</w:t>
            </w:r>
          </w:p>
        </w:tc>
        <w:tc>
          <w:tcPr>
            <w:tcW w:w="503" w:type="pct"/>
            <w:tcBorders>
              <w:top w:val="single" w:sz="4" w:space="0" w:color="auto"/>
              <w:left w:val="nil"/>
              <w:bottom w:val="single" w:sz="4" w:space="0" w:color="auto"/>
              <w:right w:val="single" w:sz="4" w:space="0" w:color="auto"/>
            </w:tcBorders>
            <w:vAlign w:val="top"/>
            <w:hideMark/>
          </w:tcPr>
          <w:p w14:paraId="5E0F1166" w14:textId="77777777" w:rsidR="00030303" w:rsidRPr="00DB2B77" w:rsidRDefault="00030303" w:rsidP="00030303">
            <w:pPr>
              <w:spacing w:before="60" w:after="60" w:line="240" w:lineRule="atLeast"/>
              <w:rPr>
                <w:rFonts w:asciiTheme="minorHAnsi" w:eastAsia="Times New Roman" w:hAnsiTheme="minorHAnsi" w:cstheme="minorHAnsi"/>
                <w:w w:val="100"/>
                <w:kern w:val="0"/>
                <w:sz w:val="19"/>
                <w:szCs w:val="19"/>
                <w:highlight w:val="yellow"/>
                <w:lang w:eastAsia="en-AU"/>
              </w:rPr>
            </w:pPr>
            <w:r w:rsidRPr="00DB2B77">
              <w:rPr>
                <w:rFonts w:asciiTheme="minorHAnsi" w:eastAsia="Times New Roman" w:hAnsiTheme="minorHAnsi" w:cstheme="minorHAnsi"/>
                <w:w w:val="100"/>
                <w:kern w:val="0"/>
                <w:sz w:val="19"/>
                <w:szCs w:val="19"/>
                <w:lang w:eastAsia="en-AU"/>
              </w:rPr>
              <w:lastRenderedPageBreak/>
              <w:t>N/A</w:t>
            </w:r>
          </w:p>
        </w:tc>
      </w:tr>
      <w:tr w:rsidR="00030303" w:rsidRPr="00DB2B77" w14:paraId="7BD5CD0E" w14:textId="77777777" w:rsidTr="00030303">
        <w:tc>
          <w:tcPr>
            <w:tcW w:w="467" w:type="pct"/>
            <w:tcBorders>
              <w:top w:val="single" w:sz="4" w:space="0" w:color="auto"/>
              <w:left w:val="single" w:sz="4" w:space="0" w:color="auto"/>
              <w:bottom w:val="single" w:sz="4" w:space="0" w:color="auto"/>
              <w:right w:val="nil"/>
            </w:tcBorders>
            <w:vAlign w:val="top"/>
            <w:hideMark/>
          </w:tcPr>
          <w:p w14:paraId="4BD19EF9" w14:textId="77777777" w:rsidR="00030303" w:rsidRPr="00DB2B77" w:rsidRDefault="00030303" w:rsidP="00030303">
            <w:pPr>
              <w:spacing w:before="60" w:after="60" w:line="240" w:lineRule="atLeast"/>
              <w:rPr>
                <w:rFonts w:asciiTheme="minorHAnsi" w:eastAsia="Times New Roman" w:hAnsiTheme="minorHAnsi" w:cstheme="minorHAnsi"/>
                <w:b/>
                <w:w w:val="100"/>
                <w:kern w:val="0"/>
                <w:sz w:val="19"/>
                <w:szCs w:val="19"/>
                <w:lang w:eastAsia="en-AU"/>
              </w:rPr>
            </w:pPr>
            <w:r w:rsidRPr="00DB2B77">
              <w:rPr>
                <w:rFonts w:asciiTheme="minorHAnsi" w:eastAsia="Times New Roman" w:hAnsiTheme="minorHAnsi" w:cstheme="minorHAnsi"/>
                <w:b/>
                <w:w w:val="100"/>
                <w:kern w:val="0"/>
                <w:sz w:val="19"/>
                <w:szCs w:val="19"/>
                <w:lang w:eastAsia="en-AU"/>
              </w:rPr>
              <w:t xml:space="preserve">Prohibition on </w:t>
            </w:r>
            <w:r w:rsidRPr="00DB2B77">
              <w:rPr>
                <w:rFonts w:asciiTheme="minorHAnsi" w:eastAsia="Times New Roman" w:hAnsiTheme="minorHAnsi" w:cstheme="minorHAnsi"/>
                <w:b/>
                <w:w w:val="100"/>
                <w:kern w:val="0"/>
                <w:sz w:val="19"/>
                <w:szCs w:val="19"/>
                <w:lang w:eastAsia="en-AU"/>
              </w:rPr>
              <w:lastRenderedPageBreak/>
              <w:t xml:space="preserve">disclosure by Commission staff </w:t>
            </w:r>
          </w:p>
        </w:tc>
        <w:tc>
          <w:tcPr>
            <w:tcW w:w="503" w:type="pct"/>
            <w:tcBorders>
              <w:top w:val="single" w:sz="4" w:space="0" w:color="auto"/>
              <w:left w:val="nil"/>
              <w:bottom w:val="single" w:sz="4" w:space="0" w:color="auto"/>
              <w:right w:val="nil"/>
            </w:tcBorders>
            <w:shd w:val="clear" w:color="auto" w:fill="D9D9D9"/>
            <w:vAlign w:val="top"/>
            <w:hideMark/>
          </w:tcPr>
          <w:p w14:paraId="43CC8F53" w14:textId="77777777" w:rsidR="00030303" w:rsidRPr="00DB2B77" w:rsidRDefault="00030303" w:rsidP="00030303">
            <w:pPr>
              <w:spacing w:before="60" w:after="60" w:line="240" w:lineRule="atLeast"/>
              <w:rPr>
                <w:rFonts w:asciiTheme="minorHAnsi" w:hAnsiTheme="minorHAnsi"/>
                <w:w w:val="100"/>
                <w:kern w:val="0"/>
                <w:sz w:val="19"/>
                <w:szCs w:val="19"/>
                <w:lang w:eastAsia="en-AU"/>
              </w:rPr>
            </w:pPr>
            <w:r w:rsidRPr="00DB2B77">
              <w:rPr>
                <w:rFonts w:asciiTheme="minorHAnsi" w:eastAsia="Times New Roman" w:hAnsiTheme="minorHAnsi" w:cstheme="minorHAnsi"/>
                <w:w w:val="100"/>
                <w:kern w:val="0"/>
                <w:sz w:val="19"/>
                <w:szCs w:val="19"/>
                <w:lang w:eastAsia="en-AU"/>
              </w:rPr>
              <w:lastRenderedPageBreak/>
              <w:t>N/A</w:t>
            </w:r>
            <w:r w:rsidRPr="00DB2B77">
              <w:rPr>
                <w:rFonts w:asciiTheme="minorHAnsi" w:eastAsia="Times New Roman" w:hAnsiTheme="minorHAnsi" w:cstheme="minorHAnsi"/>
                <w:w w:val="100"/>
                <w:kern w:val="0"/>
                <w:sz w:val="19"/>
                <w:szCs w:val="19"/>
                <w:vertAlign w:val="superscript"/>
                <w:lang w:eastAsia="en-AU"/>
              </w:rPr>
              <w:footnoteReference w:id="26"/>
            </w:r>
            <w:r w:rsidRPr="00DB2B77">
              <w:rPr>
                <w:rFonts w:asciiTheme="minorHAnsi" w:eastAsia="Times New Roman" w:hAnsiTheme="minorHAnsi" w:cstheme="minorHAnsi"/>
                <w:w w:val="100"/>
                <w:kern w:val="0"/>
                <w:sz w:val="19"/>
                <w:szCs w:val="19"/>
                <w:lang w:eastAsia="en-AU"/>
              </w:rPr>
              <w:t xml:space="preserve"> </w:t>
            </w:r>
          </w:p>
        </w:tc>
        <w:tc>
          <w:tcPr>
            <w:tcW w:w="504" w:type="pct"/>
            <w:tcBorders>
              <w:top w:val="single" w:sz="4" w:space="0" w:color="auto"/>
              <w:left w:val="nil"/>
              <w:bottom w:val="single" w:sz="4" w:space="0" w:color="auto"/>
              <w:right w:val="nil"/>
            </w:tcBorders>
            <w:vAlign w:val="top"/>
            <w:hideMark/>
          </w:tcPr>
          <w:p w14:paraId="19A33DF8" w14:textId="77777777" w:rsidR="00030303" w:rsidRPr="00DB2B77" w:rsidRDefault="00030303" w:rsidP="00030303">
            <w:pPr>
              <w:spacing w:before="60" w:after="60" w:line="240" w:lineRule="atLeast"/>
              <w:rPr>
                <w:rFonts w:asciiTheme="minorHAnsi" w:eastAsia="Times New Roman" w:hAnsiTheme="minorHAnsi" w:cstheme="minorHAnsi"/>
                <w:bCs/>
                <w:w w:val="100"/>
                <w:kern w:val="0"/>
                <w:sz w:val="19"/>
                <w:szCs w:val="19"/>
                <w:lang w:eastAsia="en-AU"/>
              </w:rPr>
            </w:pPr>
            <w:bookmarkStart w:id="10" w:name="_Toc74828556"/>
            <w:r w:rsidRPr="00DB2B77">
              <w:rPr>
                <w:rFonts w:asciiTheme="minorHAnsi" w:eastAsia="Times New Roman" w:hAnsiTheme="minorHAnsi" w:cstheme="minorHAnsi"/>
                <w:bCs/>
                <w:w w:val="100"/>
                <w:kern w:val="0"/>
                <w:sz w:val="19"/>
                <w:szCs w:val="19"/>
                <w:lang w:eastAsia="en-AU"/>
              </w:rPr>
              <w:t xml:space="preserve">It is an offence for a </w:t>
            </w:r>
            <w:r w:rsidRPr="00DB2B77">
              <w:rPr>
                <w:rFonts w:asciiTheme="minorHAnsi" w:eastAsia="Times New Roman" w:hAnsiTheme="minorHAnsi" w:cstheme="minorHAnsi"/>
                <w:bCs/>
                <w:w w:val="100"/>
                <w:kern w:val="0"/>
                <w:sz w:val="19"/>
                <w:szCs w:val="19"/>
                <w:lang w:eastAsia="en-AU"/>
              </w:rPr>
              <w:lastRenderedPageBreak/>
              <w:t xml:space="preserve">Commissioner or member of staff (etc) of a Commission to, except in the exercise of a function under the Act, record or communicate to any person any information acquired by virtue of that role, or make use of such information, or produce or permit access to any person to a document provided </w:t>
            </w:r>
            <w:r w:rsidRPr="00DB2B77">
              <w:rPr>
                <w:rFonts w:asciiTheme="minorHAnsi" w:eastAsia="Times New Roman" w:hAnsiTheme="minorHAnsi" w:cstheme="minorHAnsi"/>
                <w:bCs/>
                <w:w w:val="100"/>
                <w:kern w:val="0"/>
                <w:sz w:val="19"/>
                <w:szCs w:val="19"/>
                <w:lang w:eastAsia="en-AU"/>
              </w:rPr>
              <w:lastRenderedPageBreak/>
              <w:t>under the Act (s 20).</w:t>
            </w:r>
            <w:bookmarkEnd w:id="10"/>
          </w:p>
        </w:tc>
        <w:tc>
          <w:tcPr>
            <w:tcW w:w="504" w:type="pct"/>
            <w:tcBorders>
              <w:top w:val="single" w:sz="4" w:space="0" w:color="auto"/>
              <w:left w:val="nil"/>
              <w:bottom w:val="single" w:sz="4" w:space="0" w:color="auto"/>
              <w:right w:val="nil"/>
            </w:tcBorders>
            <w:vAlign w:val="top"/>
            <w:hideMark/>
          </w:tcPr>
          <w:p w14:paraId="268D0C44" w14:textId="77777777" w:rsidR="00030303" w:rsidRPr="00DB2B77" w:rsidRDefault="00030303" w:rsidP="00030303">
            <w:pPr>
              <w:spacing w:before="60" w:after="60" w:line="240" w:lineRule="atLeast"/>
              <w:rPr>
                <w:rFonts w:asciiTheme="minorHAnsi" w:eastAsia="Times New Roman" w:hAnsiTheme="minorHAnsi" w:cstheme="minorHAnsi"/>
                <w:b/>
                <w:w w:val="100"/>
                <w:kern w:val="0"/>
                <w:sz w:val="19"/>
                <w:szCs w:val="19"/>
                <w:lang w:eastAsia="en-AU"/>
              </w:rPr>
            </w:pPr>
            <w:r w:rsidRPr="00DB2B77">
              <w:rPr>
                <w:rFonts w:asciiTheme="minorHAnsi" w:eastAsia="Times New Roman" w:hAnsiTheme="minorHAnsi" w:cstheme="minorHAnsi"/>
                <w:w w:val="100"/>
                <w:kern w:val="0"/>
                <w:sz w:val="19"/>
                <w:szCs w:val="19"/>
                <w:lang w:eastAsia="en-AU"/>
              </w:rPr>
              <w:lastRenderedPageBreak/>
              <w:t>N/A</w:t>
            </w:r>
          </w:p>
        </w:tc>
        <w:tc>
          <w:tcPr>
            <w:tcW w:w="504" w:type="pct"/>
            <w:tcBorders>
              <w:top w:val="single" w:sz="4" w:space="0" w:color="auto"/>
              <w:left w:val="nil"/>
              <w:bottom w:val="single" w:sz="4" w:space="0" w:color="auto"/>
              <w:right w:val="nil"/>
            </w:tcBorders>
            <w:vAlign w:val="top"/>
            <w:hideMark/>
          </w:tcPr>
          <w:p w14:paraId="0C1C56E3" w14:textId="77777777" w:rsidR="00030303" w:rsidRPr="00DB2B77" w:rsidRDefault="00030303" w:rsidP="00030303">
            <w:pPr>
              <w:spacing w:before="60" w:after="60" w:line="240" w:lineRule="atLeast"/>
              <w:rPr>
                <w:rFonts w:asciiTheme="minorHAnsi" w:eastAsia="Times New Roman" w:hAnsiTheme="minorHAnsi" w:cstheme="minorHAnsi"/>
                <w:b/>
                <w:w w:val="100"/>
                <w:kern w:val="0"/>
                <w:sz w:val="19"/>
                <w:szCs w:val="19"/>
                <w:lang w:eastAsia="en-AU"/>
              </w:rPr>
            </w:pPr>
            <w:r w:rsidRPr="00DB2B77">
              <w:rPr>
                <w:rFonts w:asciiTheme="minorHAnsi" w:eastAsia="Times New Roman" w:hAnsiTheme="minorHAnsi" w:cstheme="minorHAnsi"/>
                <w:w w:val="100"/>
                <w:kern w:val="0"/>
                <w:sz w:val="19"/>
                <w:szCs w:val="19"/>
                <w:lang w:eastAsia="en-AU"/>
              </w:rPr>
              <w:t xml:space="preserve">It is an offence for a </w:t>
            </w:r>
            <w:r w:rsidRPr="00DB2B77">
              <w:rPr>
                <w:rFonts w:asciiTheme="minorHAnsi" w:eastAsia="Times New Roman" w:hAnsiTheme="minorHAnsi" w:cstheme="minorHAnsi"/>
                <w:w w:val="100"/>
                <w:kern w:val="0"/>
                <w:sz w:val="19"/>
                <w:szCs w:val="19"/>
                <w:lang w:eastAsia="en-AU"/>
              </w:rPr>
              <w:lastRenderedPageBreak/>
              <w:t>person who obtains information in the course of their functions under the Act to intentionally engage in conduct that results in the disclosure of the information (s 14</w:t>
            </w:r>
            <w:proofErr w:type="gramStart"/>
            <w:r w:rsidRPr="00DB2B77">
              <w:rPr>
                <w:rFonts w:asciiTheme="minorHAnsi" w:eastAsia="Times New Roman" w:hAnsiTheme="minorHAnsi" w:cstheme="minorHAnsi"/>
                <w:w w:val="100"/>
                <w:kern w:val="0"/>
                <w:sz w:val="19"/>
                <w:szCs w:val="19"/>
                <w:lang w:eastAsia="en-AU"/>
              </w:rPr>
              <w:t>A(</w:t>
            </w:r>
            <w:proofErr w:type="gramEnd"/>
            <w:r w:rsidRPr="00DB2B77">
              <w:rPr>
                <w:rFonts w:asciiTheme="minorHAnsi" w:eastAsia="Times New Roman" w:hAnsiTheme="minorHAnsi" w:cstheme="minorHAnsi"/>
                <w:w w:val="100"/>
                <w:kern w:val="0"/>
                <w:sz w:val="19"/>
                <w:szCs w:val="19"/>
                <w:lang w:eastAsia="en-AU"/>
              </w:rPr>
              <w:t xml:space="preserve">1); certain exceptions in (3)). </w:t>
            </w:r>
          </w:p>
        </w:tc>
        <w:tc>
          <w:tcPr>
            <w:tcW w:w="504" w:type="pct"/>
            <w:tcBorders>
              <w:top w:val="single" w:sz="4" w:space="0" w:color="auto"/>
              <w:left w:val="nil"/>
              <w:bottom w:val="single" w:sz="4" w:space="0" w:color="auto"/>
              <w:right w:val="nil"/>
            </w:tcBorders>
            <w:vAlign w:val="top"/>
            <w:hideMark/>
          </w:tcPr>
          <w:p w14:paraId="363DEF33" w14:textId="77777777" w:rsidR="00030303" w:rsidRPr="00DB2B77" w:rsidRDefault="00030303" w:rsidP="00030303">
            <w:pPr>
              <w:spacing w:before="60" w:after="60" w:line="240" w:lineRule="atLeast"/>
              <w:rPr>
                <w:rFonts w:asciiTheme="minorHAnsi" w:eastAsia="Times New Roman" w:hAnsiTheme="minorHAnsi" w:cstheme="minorHAnsi"/>
                <w:w w:val="100"/>
                <w:kern w:val="0"/>
                <w:sz w:val="19"/>
                <w:szCs w:val="19"/>
                <w:lang w:eastAsia="en-AU"/>
              </w:rPr>
            </w:pPr>
            <w:r w:rsidRPr="00DB2B77">
              <w:rPr>
                <w:rFonts w:asciiTheme="minorHAnsi" w:eastAsia="Times New Roman" w:hAnsiTheme="minorHAnsi" w:cstheme="minorHAnsi"/>
                <w:w w:val="100"/>
                <w:kern w:val="0"/>
                <w:sz w:val="19"/>
                <w:szCs w:val="19"/>
                <w:lang w:eastAsia="en-AU"/>
              </w:rPr>
              <w:lastRenderedPageBreak/>
              <w:t xml:space="preserve">It is an offence for a </w:t>
            </w:r>
            <w:r w:rsidRPr="00DB2B77">
              <w:rPr>
                <w:rFonts w:asciiTheme="minorHAnsi" w:eastAsia="Times New Roman" w:hAnsiTheme="minorHAnsi" w:cstheme="minorHAnsi"/>
                <w:w w:val="100"/>
                <w:kern w:val="0"/>
                <w:sz w:val="19"/>
                <w:szCs w:val="19"/>
                <w:lang w:eastAsia="en-AU"/>
              </w:rPr>
              <w:lastRenderedPageBreak/>
              <w:t>Commissioner or member of staff etc of a Commission to disclose or provide access to ‘confidential information’ (including information about a person’s affairs) obtained for the purposes of an inquiry (s 32B; certain exceptions in (2)).</w:t>
            </w:r>
            <w:r w:rsidRPr="00DB2B77">
              <w:rPr>
                <w:rFonts w:asciiTheme="minorHAnsi" w:eastAsia="Times New Roman" w:hAnsiTheme="minorHAnsi" w:cstheme="minorHAnsi"/>
                <w:w w:val="100"/>
                <w:kern w:val="0"/>
                <w:sz w:val="19"/>
                <w:szCs w:val="19"/>
                <w:vertAlign w:val="superscript"/>
                <w:lang w:eastAsia="en-AU"/>
              </w:rPr>
              <w:footnoteReference w:id="27"/>
            </w:r>
          </w:p>
        </w:tc>
        <w:tc>
          <w:tcPr>
            <w:tcW w:w="504" w:type="pct"/>
            <w:tcBorders>
              <w:top w:val="single" w:sz="4" w:space="0" w:color="auto"/>
              <w:left w:val="nil"/>
              <w:bottom w:val="single" w:sz="4" w:space="0" w:color="auto"/>
              <w:right w:val="nil"/>
            </w:tcBorders>
            <w:vAlign w:val="top"/>
            <w:hideMark/>
          </w:tcPr>
          <w:p w14:paraId="010E3BDE" w14:textId="77777777" w:rsidR="00030303" w:rsidRPr="00DB2B77" w:rsidRDefault="00030303" w:rsidP="00030303">
            <w:pPr>
              <w:spacing w:before="60" w:after="60" w:line="240" w:lineRule="atLeast"/>
              <w:rPr>
                <w:rFonts w:asciiTheme="minorHAnsi" w:eastAsia="Times New Roman" w:hAnsiTheme="minorHAnsi" w:cstheme="minorHAnsi"/>
                <w:w w:val="100"/>
                <w:kern w:val="0"/>
                <w:sz w:val="19"/>
                <w:szCs w:val="19"/>
                <w:highlight w:val="yellow"/>
                <w:lang w:eastAsia="en-AU"/>
              </w:rPr>
            </w:pPr>
            <w:r w:rsidRPr="00DB2B77">
              <w:rPr>
                <w:rFonts w:asciiTheme="minorHAnsi" w:eastAsia="Times New Roman" w:hAnsiTheme="minorHAnsi" w:cstheme="minorHAnsi"/>
                <w:w w:val="100"/>
                <w:kern w:val="0"/>
                <w:sz w:val="19"/>
                <w:szCs w:val="19"/>
                <w:lang w:eastAsia="en-AU"/>
              </w:rPr>
              <w:lastRenderedPageBreak/>
              <w:t>N/A</w:t>
            </w:r>
          </w:p>
        </w:tc>
        <w:tc>
          <w:tcPr>
            <w:tcW w:w="504" w:type="pct"/>
            <w:tcBorders>
              <w:top w:val="single" w:sz="4" w:space="0" w:color="auto"/>
              <w:left w:val="nil"/>
              <w:bottom w:val="single" w:sz="4" w:space="0" w:color="auto"/>
              <w:right w:val="nil"/>
            </w:tcBorders>
            <w:vAlign w:val="top"/>
            <w:hideMark/>
          </w:tcPr>
          <w:p w14:paraId="1A1B59F0" w14:textId="77777777" w:rsidR="00030303" w:rsidRPr="00DB2B77" w:rsidRDefault="00030303" w:rsidP="00030303">
            <w:pPr>
              <w:spacing w:before="60" w:after="60" w:line="240" w:lineRule="atLeast"/>
              <w:rPr>
                <w:rFonts w:asciiTheme="minorHAnsi" w:eastAsia="Times New Roman" w:hAnsiTheme="minorHAnsi" w:cstheme="minorHAnsi"/>
                <w:w w:val="100"/>
                <w:kern w:val="0"/>
                <w:sz w:val="19"/>
                <w:szCs w:val="19"/>
                <w:highlight w:val="yellow"/>
                <w:lang w:eastAsia="en-AU"/>
              </w:rPr>
            </w:pPr>
            <w:r w:rsidRPr="00DB2B77">
              <w:rPr>
                <w:rFonts w:asciiTheme="minorHAnsi" w:eastAsia="Times New Roman" w:hAnsiTheme="minorHAnsi" w:cstheme="minorHAnsi"/>
                <w:w w:val="100"/>
                <w:kern w:val="0"/>
                <w:sz w:val="19"/>
                <w:szCs w:val="19"/>
                <w:lang w:eastAsia="en-AU"/>
              </w:rPr>
              <w:t>N/A</w:t>
            </w:r>
          </w:p>
        </w:tc>
        <w:tc>
          <w:tcPr>
            <w:tcW w:w="503" w:type="pct"/>
            <w:tcBorders>
              <w:top w:val="single" w:sz="4" w:space="0" w:color="auto"/>
              <w:left w:val="nil"/>
              <w:bottom w:val="single" w:sz="4" w:space="0" w:color="auto"/>
              <w:right w:val="nil"/>
            </w:tcBorders>
            <w:vAlign w:val="top"/>
            <w:hideMark/>
          </w:tcPr>
          <w:p w14:paraId="26561F10" w14:textId="77777777" w:rsidR="00030303" w:rsidRPr="00DB2B77" w:rsidRDefault="00030303" w:rsidP="00030303">
            <w:pPr>
              <w:spacing w:before="60" w:after="60" w:line="240" w:lineRule="atLeast"/>
              <w:rPr>
                <w:rFonts w:asciiTheme="minorHAnsi" w:eastAsia="Times New Roman" w:hAnsiTheme="minorHAnsi" w:cstheme="minorHAnsi"/>
                <w:w w:val="100"/>
                <w:kern w:val="0"/>
                <w:sz w:val="19"/>
                <w:szCs w:val="19"/>
                <w:lang w:eastAsia="en-AU"/>
              </w:rPr>
            </w:pPr>
            <w:r w:rsidRPr="00DB2B77">
              <w:rPr>
                <w:rFonts w:asciiTheme="minorHAnsi" w:eastAsia="Times New Roman" w:hAnsiTheme="minorHAnsi" w:cstheme="minorHAnsi"/>
                <w:w w:val="100"/>
                <w:kern w:val="0"/>
                <w:sz w:val="19"/>
                <w:szCs w:val="19"/>
                <w:lang w:eastAsia="en-AU"/>
              </w:rPr>
              <w:t xml:space="preserve">It is an offence for a Royal </w:t>
            </w:r>
            <w:r w:rsidRPr="00DB2B77">
              <w:rPr>
                <w:rFonts w:asciiTheme="minorHAnsi" w:eastAsia="Times New Roman" w:hAnsiTheme="minorHAnsi" w:cstheme="minorHAnsi"/>
                <w:w w:val="100"/>
                <w:kern w:val="0"/>
                <w:sz w:val="19"/>
                <w:szCs w:val="19"/>
                <w:lang w:eastAsia="en-AU"/>
              </w:rPr>
              <w:lastRenderedPageBreak/>
              <w:t>Commission officer to knowingly disclose information acquired through that role (s 43; certain exceptions apply).</w:t>
            </w:r>
            <w:r w:rsidRPr="00DB2B77">
              <w:rPr>
                <w:rFonts w:asciiTheme="minorHAnsi" w:eastAsia="Times New Roman" w:hAnsiTheme="minorHAnsi" w:cstheme="minorHAnsi"/>
                <w:w w:val="100"/>
                <w:kern w:val="0"/>
                <w:sz w:val="19"/>
                <w:szCs w:val="19"/>
                <w:vertAlign w:val="superscript"/>
                <w:lang w:eastAsia="en-AU"/>
              </w:rPr>
              <w:footnoteReference w:id="28"/>
            </w:r>
          </w:p>
          <w:p w14:paraId="50F263BE" w14:textId="77777777" w:rsidR="00030303" w:rsidRPr="00DB2B77" w:rsidRDefault="00030303" w:rsidP="00030303">
            <w:pPr>
              <w:spacing w:before="60" w:after="60" w:line="240" w:lineRule="atLeast"/>
              <w:rPr>
                <w:rFonts w:asciiTheme="minorHAnsi" w:eastAsia="Times New Roman" w:hAnsiTheme="minorHAnsi" w:cstheme="minorHAnsi"/>
                <w:w w:val="100"/>
                <w:kern w:val="0"/>
                <w:sz w:val="19"/>
                <w:szCs w:val="19"/>
                <w:lang w:eastAsia="en-AU"/>
              </w:rPr>
            </w:pPr>
            <w:r w:rsidRPr="00DB2B77">
              <w:rPr>
                <w:rFonts w:asciiTheme="minorHAnsi" w:eastAsia="Times New Roman" w:hAnsiTheme="minorHAnsi" w:cstheme="minorHAnsi"/>
                <w:w w:val="100"/>
                <w:kern w:val="0"/>
                <w:sz w:val="19"/>
                <w:szCs w:val="19"/>
                <w:lang w:eastAsia="en-AU"/>
              </w:rPr>
              <w:t>Equivalent provisions apply in respect of Boards of Inquiry (s 83) and Formal Reviews (s 115).</w:t>
            </w:r>
          </w:p>
        </w:tc>
        <w:tc>
          <w:tcPr>
            <w:tcW w:w="503" w:type="pct"/>
            <w:tcBorders>
              <w:top w:val="single" w:sz="4" w:space="0" w:color="auto"/>
              <w:left w:val="nil"/>
              <w:bottom w:val="single" w:sz="4" w:space="0" w:color="auto"/>
              <w:right w:val="single" w:sz="4" w:space="0" w:color="auto"/>
            </w:tcBorders>
            <w:vAlign w:val="top"/>
            <w:hideMark/>
          </w:tcPr>
          <w:p w14:paraId="7DE957AF" w14:textId="77777777" w:rsidR="00030303" w:rsidRPr="00DB2B77" w:rsidRDefault="00030303" w:rsidP="00030303">
            <w:pPr>
              <w:spacing w:before="60" w:after="60" w:line="240" w:lineRule="atLeast"/>
              <w:rPr>
                <w:rFonts w:asciiTheme="minorHAnsi" w:eastAsia="Times New Roman" w:hAnsiTheme="minorHAnsi" w:cstheme="minorHAnsi"/>
                <w:w w:val="100"/>
                <w:kern w:val="0"/>
                <w:sz w:val="19"/>
                <w:szCs w:val="19"/>
                <w:highlight w:val="yellow"/>
                <w:lang w:eastAsia="en-AU"/>
              </w:rPr>
            </w:pPr>
            <w:r w:rsidRPr="00DB2B77">
              <w:rPr>
                <w:rFonts w:asciiTheme="minorHAnsi" w:eastAsia="Times New Roman" w:hAnsiTheme="minorHAnsi" w:cstheme="minorHAnsi"/>
                <w:w w:val="100"/>
                <w:kern w:val="0"/>
                <w:sz w:val="19"/>
                <w:szCs w:val="19"/>
                <w:lang w:eastAsia="en-AU"/>
              </w:rPr>
              <w:lastRenderedPageBreak/>
              <w:t>N/A</w:t>
            </w:r>
          </w:p>
        </w:tc>
      </w:tr>
      <w:tr w:rsidR="00030303" w:rsidRPr="00DB2B77" w14:paraId="271F4525" w14:textId="77777777" w:rsidTr="00030303">
        <w:tc>
          <w:tcPr>
            <w:tcW w:w="467" w:type="pct"/>
            <w:tcBorders>
              <w:top w:val="single" w:sz="4" w:space="0" w:color="auto"/>
              <w:left w:val="single" w:sz="4" w:space="0" w:color="auto"/>
              <w:bottom w:val="single" w:sz="4" w:space="0" w:color="auto"/>
              <w:right w:val="nil"/>
            </w:tcBorders>
            <w:vAlign w:val="top"/>
            <w:hideMark/>
          </w:tcPr>
          <w:p w14:paraId="54289549" w14:textId="77777777" w:rsidR="00030303" w:rsidRPr="00DB2B77" w:rsidRDefault="00030303" w:rsidP="00030303">
            <w:pPr>
              <w:spacing w:before="60" w:after="60" w:line="240" w:lineRule="atLeast"/>
              <w:rPr>
                <w:rFonts w:asciiTheme="minorHAnsi" w:eastAsia="Times New Roman" w:hAnsiTheme="minorHAnsi" w:cstheme="minorHAnsi"/>
                <w:b/>
                <w:w w:val="100"/>
                <w:kern w:val="0"/>
                <w:sz w:val="19"/>
                <w:szCs w:val="19"/>
                <w:lang w:eastAsia="en-AU"/>
              </w:rPr>
            </w:pPr>
            <w:r w:rsidRPr="00DB2B77">
              <w:rPr>
                <w:rFonts w:asciiTheme="minorHAnsi" w:eastAsia="Times New Roman" w:hAnsiTheme="minorHAnsi" w:cstheme="minorHAnsi"/>
                <w:b/>
                <w:w w:val="100"/>
                <w:kern w:val="0"/>
                <w:sz w:val="19"/>
                <w:szCs w:val="19"/>
                <w:lang w:eastAsia="en-AU"/>
              </w:rPr>
              <w:lastRenderedPageBreak/>
              <w:t>Availability of private hearings</w:t>
            </w:r>
          </w:p>
        </w:tc>
        <w:tc>
          <w:tcPr>
            <w:tcW w:w="503" w:type="pct"/>
            <w:tcBorders>
              <w:top w:val="single" w:sz="4" w:space="0" w:color="auto"/>
              <w:left w:val="nil"/>
              <w:bottom w:val="single" w:sz="4" w:space="0" w:color="auto"/>
              <w:right w:val="nil"/>
            </w:tcBorders>
            <w:shd w:val="clear" w:color="auto" w:fill="D9D9D9"/>
            <w:vAlign w:val="top"/>
            <w:hideMark/>
          </w:tcPr>
          <w:p w14:paraId="33F3ED75" w14:textId="77777777" w:rsidR="00030303" w:rsidRPr="00DB2B77" w:rsidRDefault="00030303" w:rsidP="00030303">
            <w:pPr>
              <w:spacing w:before="60" w:after="60" w:line="240" w:lineRule="atLeast"/>
              <w:rPr>
                <w:rFonts w:asciiTheme="minorHAnsi" w:eastAsia="Times New Roman" w:hAnsiTheme="minorHAnsi" w:cstheme="minorHAnsi"/>
                <w:w w:val="100"/>
                <w:kern w:val="0"/>
                <w:sz w:val="19"/>
                <w:szCs w:val="19"/>
                <w:lang w:eastAsia="en-AU"/>
              </w:rPr>
            </w:pPr>
            <w:r w:rsidRPr="00DB2B77">
              <w:rPr>
                <w:rFonts w:asciiTheme="minorHAnsi" w:eastAsia="Times New Roman" w:hAnsiTheme="minorHAnsi" w:cstheme="minorHAnsi"/>
                <w:w w:val="100"/>
                <w:kern w:val="0"/>
                <w:sz w:val="19"/>
                <w:szCs w:val="19"/>
                <w:lang w:eastAsia="en-AU"/>
              </w:rPr>
              <w:t>A Commission may direct that evidence given before it must not be published, or must not be published except in such manner, and to such persons, as the Commission specifies (s 6</w:t>
            </w:r>
            <w:proofErr w:type="gramStart"/>
            <w:r w:rsidRPr="00DB2B77">
              <w:rPr>
                <w:rFonts w:asciiTheme="minorHAnsi" w:eastAsia="Times New Roman" w:hAnsiTheme="minorHAnsi" w:cstheme="minorHAnsi"/>
                <w:w w:val="100"/>
                <w:kern w:val="0"/>
                <w:sz w:val="19"/>
                <w:szCs w:val="19"/>
                <w:lang w:eastAsia="en-AU"/>
              </w:rPr>
              <w:t>D(</w:t>
            </w:r>
            <w:proofErr w:type="gramEnd"/>
            <w:r w:rsidRPr="00DB2B77">
              <w:rPr>
                <w:rFonts w:asciiTheme="minorHAnsi" w:eastAsia="Times New Roman" w:hAnsiTheme="minorHAnsi" w:cstheme="minorHAnsi"/>
                <w:w w:val="100"/>
                <w:kern w:val="0"/>
                <w:sz w:val="19"/>
                <w:szCs w:val="19"/>
                <w:lang w:eastAsia="en-AU"/>
              </w:rPr>
              <w:t xml:space="preserve">3)). </w:t>
            </w:r>
          </w:p>
        </w:tc>
        <w:tc>
          <w:tcPr>
            <w:tcW w:w="504" w:type="pct"/>
            <w:tcBorders>
              <w:top w:val="single" w:sz="4" w:space="0" w:color="auto"/>
              <w:left w:val="nil"/>
              <w:bottom w:val="single" w:sz="4" w:space="0" w:color="auto"/>
              <w:right w:val="nil"/>
            </w:tcBorders>
            <w:vAlign w:val="top"/>
          </w:tcPr>
          <w:p w14:paraId="2FE97679" w14:textId="77777777" w:rsidR="00030303" w:rsidRPr="00DB2B77" w:rsidRDefault="00030303" w:rsidP="00030303">
            <w:pPr>
              <w:spacing w:before="60" w:after="60" w:line="240" w:lineRule="atLeast"/>
              <w:rPr>
                <w:rFonts w:asciiTheme="minorHAnsi" w:eastAsia="Times New Roman" w:hAnsiTheme="minorHAnsi" w:cstheme="minorHAnsi"/>
                <w:w w:val="100"/>
                <w:kern w:val="0"/>
                <w:sz w:val="19"/>
                <w:szCs w:val="19"/>
                <w:lang w:eastAsia="en-AU"/>
              </w:rPr>
            </w:pPr>
            <w:r w:rsidRPr="00DB2B77">
              <w:rPr>
                <w:rFonts w:asciiTheme="minorHAnsi" w:eastAsia="Times New Roman" w:hAnsiTheme="minorHAnsi" w:cstheme="minorHAnsi"/>
                <w:w w:val="100"/>
                <w:kern w:val="0"/>
                <w:sz w:val="19"/>
                <w:szCs w:val="19"/>
                <w:lang w:eastAsia="en-AU"/>
              </w:rPr>
              <w:t>If a Commission is satisfied it is desirable because of the confidential nature of any evidence or matter, or for any other reason, it may direct that a hearing or part of a hearing must take place in private and give directions as to the people who may be present (s 28(3)(a)).</w:t>
            </w:r>
          </w:p>
          <w:p w14:paraId="2A72D90C" w14:textId="77777777" w:rsidR="00030303" w:rsidRPr="00DB2B77" w:rsidRDefault="00030303" w:rsidP="00030303">
            <w:pPr>
              <w:spacing w:before="60" w:after="60" w:line="240" w:lineRule="atLeast"/>
              <w:rPr>
                <w:rFonts w:asciiTheme="minorHAnsi" w:eastAsia="Times New Roman" w:hAnsiTheme="minorHAnsi" w:cstheme="minorHAnsi"/>
                <w:w w:val="100"/>
                <w:kern w:val="0"/>
                <w:sz w:val="19"/>
                <w:szCs w:val="19"/>
                <w:lang w:eastAsia="en-AU"/>
              </w:rPr>
            </w:pPr>
          </w:p>
          <w:p w14:paraId="12FD7A14" w14:textId="77777777" w:rsidR="00030303" w:rsidRPr="00DB2B77" w:rsidRDefault="00030303" w:rsidP="00030303">
            <w:pPr>
              <w:spacing w:before="60" w:after="60" w:line="240" w:lineRule="atLeast"/>
              <w:rPr>
                <w:rFonts w:asciiTheme="minorHAnsi" w:eastAsia="Times New Roman" w:hAnsiTheme="minorHAnsi" w:cstheme="minorHAnsi"/>
                <w:w w:val="100"/>
                <w:kern w:val="0"/>
                <w:sz w:val="19"/>
                <w:szCs w:val="19"/>
                <w:lang w:eastAsia="en-AU"/>
              </w:rPr>
            </w:pPr>
            <w:r w:rsidRPr="00DB2B77">
              <w:rPr>
                <w:rFonts w:asciiTheme="minorHAnsi" w:eastAsia="Times New Roman" w:hAnsiTheme="minorHAnsi" w:cstheme="minorHAnsi"/>
                <w:w w:val="100"/>
                <w:kern w:val="0"/>
                <w:sz w:val="19"/>
                <w:szCs w:val="19"/>
                <w:lang w:eastAsia="en-AU"/>
              </w:rPr>
              <w:lastRenderedPageBreak/>
              <w:t>If a hearing is being held in private, only certain people are permitted to attend (s 32).</w:t>
            </w:r>
          </w:p>
        </w:tc>
        <w:tc>
          <w:tcPr>
            <w:tcW w:w="504" w:type="pct"/>
            <w:tcBorders>
              <w:top w:val="single" w:sz="4" w:space="0" w:color="auto"/>
              <w:left w:val="nil"/>
              <w:bottom w:val="single" w:sz="4" w:space="0" w:color="auto"/>
              <w:right w:val="nil"/>
            </w:tcBorders>
            <w:vAlign w:val="top"/>
            <w:hideMark/>
          </w:tcPr>
          <w:p w14:paraId="21410724" w14:textId="77777777" w:rsidR="00030303" w:rsidRPr="00DB2B77" w:rsidRDefault="00030303" w:rsidP="00030303">
            <w:pPr>
              <w:spacing w:before="60" w:after="60" w:line="240" w:lineRule="atLeast"/>
              <w:rPr>
                <w:rFonts w:asciiTheme="minorHAnsi" w:eastAsia="Times New Roman" w:hAnsiTheme="minorHAnsi" w:cstheme="minorHAnsi"/>
                <w:b/>
                <w:w w:val="100"/>
                <w:kern w:val="0"/>
                <w:sz w:val="19"/>
                <w:szCs w:val="19"/>
                <w:lang w:eastAsia="en-AU"/>
              </w:rPr>
            </w:pPr>
            <w:r w:rsidRPr="00DB2B77">
              <w:rPr>
                <w:rFonts w:asciiTheme="minorHAnsi" w:eastAsia="Times New Roman" w:hAnsiTheme="minorHAnsi" w:cstheme="minorHAnsi"/>
                <w:w w:val="100"/>
                <w:kern w:val="0"/>
                <w:sz w:val="19"/>
                <w:szCs w:val="19"/>
                <w:lang w:eastAsia="en-AU"/>
              </w:rPr>
              <w:lastRenderedPageBreak/>
              <w:t>The chairperson may direct that any part of an inquiry is to take place in private (s 12</w:t>
            </w:r>
            <w:proofErr w:type="gramStart"/>
            <w:r w:rsidRPr="00DB2B77">
              <w:rPr>
                <w:rFonts w:asciiTheme="minorHAnsi" w:eastAsia="Times New Roman" w:hAnsiTheme="minorHAnsi" w:cstheme="minorHAnsi"/>
                <w:w w:val="100"/>
                <w:kern w:val="0"/>
                <w:sz w:val="19"/>
                <w:szCs w:val="19"/>
                <w:lang w:eastAsia="en-AU"/>
              </w:rPr>
              <w:t>B(</w:t>
            </w:r>
            <w:proofErr w:type="gramEnd"/>
            <w:r w:rsidRPr="00DB2B77">
              <w:rPr>
                <w:rFonts w:asciiTheme="minorHAnsi" w:eastAsia="Times New Roman" w:hAnsiTheme="minorHAnsi" w:cstheme="minorHAnsi"/>
                <w:w w:val="100"/>
                <w:kern w:val="0"/>
                <w:sz w:val="19"/>
                <w:szCs w:val="19"/>
                <w:lang w:eastAsia="en-AU"/>
              </w:rPr>
              <w:t xml:space="preserve">2)) and </w:t>
            </w:r>
            <w:r w:rsidRPr="00DB2B77">
              <w:rPr>
                <w:rFonts w:asciiTheme="minorHAnsi" w:eastAsia="Times New Roman" w:hAnsiTheme="minorHAnsi" w:cstheme="minorHAnsi"/>
                <w:w w:val="100"/>
                <w:kern w:val="0"/>
                <w:sz w:val="19"/>
                <w:szCs w:val="19"/>
                <w:shd w:val="clear" w:color="auto" w:fill="FFFFFF"/>
                <w:lang w:eastAsia="en-AU"/>
              </w:rPr>
              <w:t>a Commissioner may give directions as to the persons who may be present at that part of the inquiry (s 12B(3)).</w:t>
            </w:r>
          </w:p>
        </w:tc>
        <w:tc>
          <w:tcPr>
            <w:tcW w:w="504" w:type="pct"/>
            <w:tcBorders>
              <w:top w:val="single" w:sz="4" w:space="0" w:color="auto"/>
              <w:left w:val="nil"/>
              <w:bottom w:val="single" w:sz="4" w:space="0" w:color="auto"/>
              <w:right w:val="nil"/>
            </w:tcBorders>
            <w:vAlign w:val="top"/>
            <w:hideMark/>
          </w:tcPr>
          <w:p w14:paraId="56BBBA8E" w14:textId="77777777" w:rsidR="00030303" w:rsidRPr="00DB2B77" w:rsidRDefault="00030303" w:rsidP="00030303">
            <w:pPr>
              <w:spacing w:before="60" w:after="60" w:line="240" w:lineRule="atLeast"/>
              <w:rPr>
                <w:rFonts w:asciiTheme="minorHAnsi" w:eastAsia="Times New Roman" w:hAnsiTheme="minorHAnsi" w:cstheme="minorHAnsi"/>
                <w:b/>
                <w:w w:val="100"/>
                <w:kern w:val="0"/>
                <w:sz w:val="19"/>
                <w:szCs w:val="19"/>
                <w:lang w:eastAsia="en-AU"/>
              </w:rPr>
            </w:pPr>
            <w:r w:rsidRPr="00DB2B77">
              <w:rPr>
                <w:rFonts w:asciiTheme="minorHAnsi" w:eastAsia="Times New Roman" w:hAnsiTheme="minorHAnsi" w:cstheme="minorHAnsi"/>
                <w:w w:val="100"/>
                <w:kern w:val="0"/>
                <w:sz w:val="19"/>
                <w:szCs w:val="19"/>
                <w:lang w:eastAsia="en-AU"/>
              </w:rPr>
              <w:t>A Board or Commissioner may direct that the whole or any part of the proceedings on an inquiry under this Act be heard in private if the Board or Commissioner considers that it is desirable in the public interest so to do (s 16).</w:t>
            </w:r>
          </w:p>
        </w:tc>
        <w:tc>
          <w:tcPr>
            <w:tcW w:w="504" w:type="pct"/>
            <w:tcBorders>
              <w:top w:val="single" w:sz="4" w:space="0" w:color="auto"/>
              <w:left w:val="nil"/>
              <w:bottom w:val="single" w:sz="4" w:space="0" w:color="auto"/>
              <w:right w:val="nil"/>
            </w:tcBorders>
            <w:vAlign w:val="top"/>
            <w:hideMark/>
          </w:tcPr>
          <w:p w14:paraId="7AF0C88D" w14:textId="77777777" w:rsidR="00030303" w:rsidRPr="00DB2B77" w:rsidRDefault="00030303" w:rsidP="00030303">
            <w:pPr>
              <w:spacing w:before="60" w:after="60" w:line="240" w:lineRule="atLeast"/>
              <w:rPr>
                <w:rFonts w:asciiTheme="minorHAnsi" w:eastAsia="Times New Roman" w:hAnsiTheme="minorHAnsi" w:cstheme="minorHAnsi"/>
                <w:b/>
                <w:w w:val="100"/>
                <w:kern w:val="0"/>
                <w:sz w:val="19"/>
                <w:szCs w:val="19"/>
                <w:lang w:eastAsia="en-AU"/>
              </w:rPr>
            </w:pPr>
            <w:r w:rsidRPr="00DB2B77">
              <w:rPr>
                <w:rFonts w:asciiTheme="minorHAnsi" w:eastAsia="Times New Roman" w:hAnsiTheme="minorHAnsi" w:cstheme="minorHAnsi"/>
                <w:w w:val="100"/>
                <w:kern w:val="0"/>
                <w:sz w:val="19"/>
                <w:szCs w:val="19"/>
                <w:lang w:eastAsia="en-AU"/>
              </w:rPr>
              <w:t>A Commission may refuse to allow the public or any portion of the public to be present at a sitting if it is in the public interest expedient so to do for reasons connected with the subject matter of the inquiry or the nature of the evidence to be given (s 16A).</w:t>
            </w:r>
          </w:p>
        </w:tc>
        <w:tc>
          <w:tcPr>
            <w:tcW w:w="504" w:type="pct"/>
            <w:tcBorders>
              <w:top w:val="single" w:sz="4" w:space="0" w:color="auto"/>
              <w:left w:val="nil"/>
              <w:bottom w:val="single" w:sz="4" w:space="0" w:color="auto"/>
              <w:right w:val="nil"/>
            </w:tcBorders>
            <w:vAlign w:val="top"/>
            <w:hideMark/>
          </w:tcPr>
          <w:p w14:paraId="024AC9CE" w14:textId="77777777" w:rsidR="00030303" w:rsidRPr="00DB2B77" w:rsidRDefault="00030303" w:rsidP="00030303">
            <w:pPr>
              <w:spacing w:before="60" w:after="60" w:line="240" w:lineRule="atLeast"/>
              <w:rPr>
                <w:rFonts w:asciiTheme="minorHAnsi" w:eastAsia="Times New Roman" w:hAnsiTheme="minorHAnsi" w:cstheme="minorHAnsi"/>
                <w:i/>
                <w:w w:val="100"/>
                <w:kern w:val="0"/>
                <w:sz w:val="19"/>
                <w:szCs w:val="19"/>
                <w:lang w:eastAsia="en-AU"/>
              </w:rPr>
            </w:pPr>
            <w:r w:rsidRPr="00DB2B77">
              <w:rPr>
                <w:rFonts w:asciiTheme="minorHAnsi" w:eastAsia="Times New Roman" w:hAnsiTheme="minorHAnsi" w:cstheme="minorHAnsi"/>
                <w:w w:val="100"/>
                <w:kern w:val="0"/>
                <w:sz w:val="19"/>
                <w:szCs w:val="19"/>
                <w:lang w:eastAsia="en-AU"/>
              </w:rPr>
              <w:t>A Commission may, in connection with the exercise of their functions, take evidence in public or in private (s 6).</w:t>
            </w:r>
            <w:r w:rsidRPr="00DB2B77">
              <w:rPr>
                <w:rFonts w:asciiTheme="minorHAnsi" w:eastAsia="Times New Roman" w:hAnsiTheme="minorHAnsi" w:cstheme="minorHAnsi"/>
                <w:i/>
                <w:w w:val="100"/>
                <w:kern w:val="0"/>
                <w:sz w:val="19"/>
                <w:szCs w:val="19"/>
                <w:lang w:eastAsia="en-AU"/>
              </w:rPr>
              <w:t xml:space="preserve"> </w:t>
            </w:r>
          </w:p>
          <w:p w14:paraId="0A2C8BA0" w14:textId="77777777" w:rsidR="00030303" w:rsidRPr="00DB2B77" w:rsidRDefault="00030303" w:rsidP="00030303">
            <w:pPr>
              <w:spacing w:before="60" w:after="60" w:line="240" w:lineRule="atLeast"/>
              <w:rPr>
                <w:rFonts w:asciiTheme="minorHAnsi" w:eastAsia="Times New Roman" w:hAnsiTheme="minorHAnsi" w:cstheme="minorHAnsi"/>
                <w:w w:val="100"/>
                <w:kern w:val="0"/>
                <w:sz w:val="19"/>
                <w:szCs w:val="19"/>
                <w:lang w:eastAsia="en-AU"/>
              </w:rPr>
            </w:pPr>
            <w:r w:rsidRPr="00DB2B77">
              <w:rPr>
                <w:rFonts w:asciiTheme="minorHAnsi" w:eastAsia="Times New Roman" w:hAnsiTheme="minorHAnsi" w:cstheme="minorHAnsi"/>
                <w:w w:val="100"/>
                <w:kern w:val="0"/>
                <w:sz w:val="19"/>
                <w:szCs w:val="19"/>
                <w:lang w:eastAsia="en-AU"/>
              </w:rPr>
              <w:t xml:space="preserve">Where the Commission considers it desirable to exercise powers conferred by this section in the public interest, or in order to prevent undue prejudice or undue hardship to any person, it may, by order, direct that any persons specified (by </w:t>
            </w:r>
            <w:r w:rsidRPr="00DB2B77">
              <w:rPr>
                <w:rFonts w:asciiTheme="minorHAnsi" w:eastAsia="Times New Roman" w:hAnsiTheme="minorHAnsi" w:cstheme="minorHAnsi"/>
                <w:w w:val="100"/>
                <w:kern w:val="0"/>
                <w:sz w:val="19"/>
                <w:szCs w:val="19"/>
                <w:lang w:eastAsia="en-AU"/>
              </w:rPr>
              <w:lastRenderedPageBreak/>
              <w:t>name or otherwise) absent themselves from the place in which the Commission is conducting its inquiry during the whole or a specified part of the proceedings (s 16(1)(a)).</w:t>
            </w:r>
          </w:p>
          <w:p w14:paraId="69F53DE9" w14:textId="77777777" w:rsidR="00030303" w:rsidRPr="00DB2B77" w:rsidRDefault="00030303" w:rsidP="00030303">
            <w:pPr>
              <w:spacing w:before="60" w:after="60" w:line="240" w:lineRule="atLeast"/>
              <w:rPr>
                <w:rFonts w:asciiTheme="minorHAnsi" w:eastAsia="Times New Roman" w:hAnsiTheme="minorHAnsi" w:cstheme="minorHAnsi"/>
                <w:w w:val="100"/>
                <w:kern w:val="0"/>
                <w:sz w:val="19"/>
                <w:szCs w:val="19"/>
                <w:highlight w:val="yellow"/>
                <w:lang w:eastAsia="en-AU"/>
              </w:rPr>
            </w:pPr>
            <w:r w:rsidRPr="00DB2B77">
              <w:rPr>
                <w:rFonts w:asciiTheme="minorHAnsi" w:eastAsia="Times New Roman" w:hAnsiTheme="minorHAnsi" w:cstheme="minorHAnsi"/>
                <w:w w:val="100"/>
                <w:kern w:val="0"/>
                <w:sz w:val="19"/>
                <w:szCs w:val="19"/>
                <w:lang w:eastAsia="en-AU"/>
              </w:rPr>
              <w:t>Offence provisions apply for non</w:t>
            </w:r>
            <w:r w:rsidRPr="00DB2B77">
              <w:rPr>
                <w:rFonts w:asciiTheme="minorHAnsi" w:eastAsia="Times New Roman" w:hAnsiTheme="minorHAnsi" w:cstheme="minorHAnsi"/>
                <w:w w:val="100"/>
                <w:kern w:val="0"/>
                <w:sz w:val="19"/>
                <w:szCs w:val="19"/>
                <w:lang w:eastAsia="en-AU"/>
              </w:rPr>
              <w:noBreakHyphen/>
              <w:t>compliance.</w:t>
            </w:r>
          </w:p>
        </w:tc>
        <w:tc>
          <w:tcPr>
            <w:tcW w:w="504" w:type="pct"/>
            <w:tcBorders>
              <w:top w:val="single" w:sz="4" w:space="0" w:color="auto"/>
              <w:left w:val="nil"/>
              <w:bottom w:val="single" w:sz="4" w:space="0" w:color="auto"/>
              <w:right w:val="nil"/>
            </w:tcBorders>
            <w:vAlign w:val="top"/>
          </w:tcPr>
          <w:p w14:paraId="0054FABE" w14:textId="77777777" w:rsidR="00030303" w:rsidRPr="00DB2B77" w:rsidRDefault="00030303" w:rsidP="00030303">
            <w:pPr>
              <w:spacing w:before="60" w:after="60" w:line="240" w:lineRule="atLeast"/>
              <w:rPr>
                <w:rFonts w:asciiTheme="minorHAnsi" w:eastAsia="Times New Roman" w:hAnsiTheme="minorHAnsi" w:cstheme="minorHAnsi"/>
                <w:w w:val="100"/>
                <w:kern w:val="0"/>
                <w:sz w:val="19"/>
                <w:szCs w:val="19"/>
                <w:lang w:eastAsia="en-AU"/>
              </w:rPr>
            </w:pPr>
            <w:r w:rsidRPr="00DB2B77">
              <w:rPr>
                <w:rFonts w:asciiTheme="minorHAnsi" w:eastAsia="Times New Roman" w:hAnsiTheme="minorHAnsi" w:cstheme="minorHAnsi"/>
                <w:w w:val="100"/>
                <w:kern w:val="0"/>
                <w:sz w:val="19"/>
                <w:szCs w:val="19"/>
                <w:lang w:eastAsia="en-AU"/>
              </w:rPr>
              <w:lastRenderedPageBreak/>
              <w:t xml:space="preserve">A Commission may refuse to admit the public or any person to a hearing if it is satisfied that the public interest in an open hearing is outweighed by any other consideration (s 13(2)). </w:t>
            </w:r>
          </w:p>
          <w:p w14:paraId="5723ECD1" w14:textId="77777777" w:rsidR="00030303" w:rsidRPr="00DB2B77" w:rsidRDefault="00030303" w:rsidP="00030303">
            <w:pPr>
              <w:spacing w:before="60" w:after="60" w:line="240" w:lineRule="atLeast"/>
              <w:rPr>
                <w:rFonts w:asciiTheme="minorHAnsi" w:eastAsia="Times New Roman" w:hAnsiTheme="minorHAnsi" w:cstheme="minorHAnsi"/>
                <w:w w:val="100"/>
                <w:kern w:val="0"/>
                <w:sz w:val="19"/>
                <w:szCs w:val="19"/>
                <w:highlight w:val="yellow"/>
                <w:lang w:eastAsia="en-AU"/>
              </w:rPr>
            </w:pPr>
          </w:p>
          <w:p w14:paraId="1840E4B2" w14:textId="77777777" w:rsidR="00030303" w:rsidRPr="00DB2B77" w:rsidRDefault="00030303" w:rsidP="00030303">
            <w:pPr>
              <w:spacing w:before="60" w:after="60" w:line="240" w:lineRule="atLeast"/>
              <w:rPr>
                <w:rFonts w:asciiTheme="minorHAnsi" w:eastAsia="Times New Roman" w:hAnsiTheme="minorHAnsi" w:cstheme="minorHAnsi"/>
                <w:w w:val="100"/>
                <w:kern w:val="0"/>
                <w:sz w:val="19"/>
                <w:szCs w:val="19"/>
                <w:highlight w:val="yellow"/>
                <w:lang w:eastAsia="en-AU"/>
              </w:rPr>
            </w:pPr>
            <w:r w:rsidRPr="00DB2B77">
              <w:rPr>
                <w:rFonts w:asciiTheme="minorHAnsi" w:eastAsia="Times New Roman" w:hAnsiTheme="minorHAnsi" w:cstheme="minorHAnsi"/>
                <w:w w:val="100"/>
                <w:kern w:val="0"/>
                <w:sz w:val="19"/>
                <w:szCs w:val="19"/>
                <w:lang w:eastAsia="en-AU"/>
              </w:rPr>
              <w:t xml:space="preserve">A Commission may, if satisfied it is necessary, identify a person giving evidence to the Commission as potentially vulnerable and apply any special evidentiary procedures, or </w:t>
            </w:r>
            <w:r w:rsidRPr="00DB2B77">
              <w:rPr>
                <w:rFonts w:asciiTheme="minorHAnsi" w:eastAsia="Times New Roman" w:hAnsiTheme="minorHAnsi" w:cstheme="minorHAnsi"/>
                <w:w w:val="100"/>
                <w:kern w:val="0"/>
                <w:sz w:val="19"/>
                <w:szCs w:val="19"/>
                <w:lang w:eastAsia="en-AU"/>
              </w:rPr>
              <w:lastRenderedPageBreak/>
              <w:t xml:space="preserve">measures, that may be appropriate (s 23B(c)). </w:t>
            </w:r>
          </w:p>
        </w:tc>
        <w:tc>
          <w:tcPr>
            <w:tcW w:w="503" w:type="pct"/>
            <w:tcBorders>
              <w:top w:val="single" w:sz="4" w:space="0" w:color="auto"/>
              <w:left w:val="nil"/>
              <w:bottom w:val="single" w:sz="4" w:space="0" w:color="auto"/>
              <w:right w:val="nil"/>
            </w:tcBorders>
            <w:vAlign w:val="top"/>
            <w:hideMark/>
          </w:tcPr>
          <w:p w14:paraId="0C924F91" w14:textId="77777777" w:rsidR="00030303" w:rsidRPr="00DB2B77" w:rsidRDefault="00030303" w:rsidP="00030303">
            <w:pPr>
              <w:spacing w:before="60" w:after="60" w:line="240" w:lineRule="atLeast"/>
              <w:rPr>
                <w:rFonts w:asciiTheme="minorHAnsi" w:eastAsia="Times New Roman" w:hAnsiTheme="minorHAnsi" w:cstheme="minorHAnsi"/>
                <w:w w:val="100"/>
                <w:kern w:val="0"/>
                <w:sz w:val="19"/>
                <w:szCs w:val="19"/>
                <w:lang w:eastAsia="en-AU"/>
              </w:rPr>
            </w:pPr>
            <w:r w:rsidRPr="00DB2B77">
              <w:rPr>
                <w:rFonts w:asciiTheme="minorHAnsi" w:eastAsia="Times New Roman" w:hAnsiTheme="minorHAnsi" w:cstheme="minorHAnsi"/>
                <w:w w:val="100"/>
                <w:kern w:val="0"/>
                <w:sz w:val="19"/>
                <w:szCs w:val="19"/>
                <w:lang w:eastAsia="en-AU"/>
              </w:rPr>
              <w:lastRenderedPageBreak/>
              <w:t xml:space="preserve">A Commissioner may make an order excluding any person from a proceeding of the Royal Commission on a range of grounds including if the Commissioner considers the exclusion appropriate (s 24(1)). </w:t>
            </w:r>
          </w:p>
          <w:p w14:paraId="64032B6A" w14:textId="77777777" w:rsidR="00030303" w:rsidRPr="00DB2B77" w:rsidRDefault="00030303" w:rsidP="00030303">
            <w:pPr>
              <w:spacing w:before="60" w:after="60" w:line="240" w:lineRule="atLeast"/>
              <w:rPr>
                <w:rFonts w:asciiTheme="minorHAnsi" w:eastAsia="Times New Roman" w:hAnsiTheme="minorHAnsi" w:cstheme="minorHAnsi"/>
                <w:w w:val="100"/>
                <w:kern w:val="0"/>
                <w:sz w:val="19"/>
                <w:szCs w:val="19"/>
                <w:lang w:eastAsia="en-AU"/>
              </w:rPr>
            </w:pPr>
            <w:r w:rsidRPr="00DB2B77">
              <w:rPr>
                <w:rFonts w:asciiTheme="minorHAnsi" w:eastAsia="Times New Roman" w:hAnsiTheme="minorHAnsi" w:cstheme="minorHAnsi"/>
                <w:w w:val="100"/>
                <w:kern w:val="0"/>
                <w:sz w:val="19"/>
                <w:szCs w:val="19"/>
                <w:lang w:eastAsia="en-AU"/>
              </w:rPr>
              <w:t>Offence provisions apply for non</w:t>
            </w:r>
            <w:r w:rsidRPr="00DB2B77">
              <w:rPr>
                <w:rFonts w:asciiTheme="minorHAnsi" w:eastAsia="Times New Roman" w:hAnsiTheme="minorHAnsi" w:cstheme="minorHAnsi"/>
                <w:w w:val="100"/>
                <w:kern w:val="0"/>
                <w:sz w:val="19"/>
                <w:szCs w:val="19"/>
                <w:lang w:eastAsia="en-AU"/>
              </w:rPr>
              <w:noBreakHyphen/>
              <w:t>compliance</w:t>
            </w:r>
          </w:p>
          <w:p w14:paraId="68A5751F" w14:textId="77777777" w:rsidR="00030303" w:rsidRPr="00DB2B77" w:rsidRDefault="00030303" w:rsidP="00030303">
            <w:pPr>
              <w:spacing w:before="60" w:after="60" w:line="240" w:lineRule="atLeast"/>
              <w:rPr>
                <w:rFonts w:asciiTheme="minorHAnsi" w:eastAsia="Times New Roman" w:hAnsiTheme="minorHAnsi" w:cstheme="minorHAnsi"/>
                <w:w w:val="100"/>
                <w:kern w:val="0"/>
                <w:sz w:val="19"/>
                <w:szCs w:val="19"/>
                <w:lang w:eastAsia="en-AU"/>
              </w:rPr>
            </w:pPr>
            <w:r w:rsidRPr="00DB2B77">
              <w:rPr>
                <w:rFonts w:asciiTheme="minorHAnsi" w:eastAsia="Times New Roman" w:hAnsiTheme="minorHAnsi" w:cstheme="minorHAnsi"/>
                <w:w w:val="100"/>
                <w:kern w:val="0"/>
                <w:sz w:val="19"/>
                <w:szCs w:val="19"/>
                <w:lang w:eastAsia="en-AU"/>
              </w:rPr>
              <w:t xml:space="preserve">Equivalent provisions apply in respect of Boards of Inquiry (s 71) </w:t>
            </w:r>
            <w:r w:rsidRPr="00DB2B77">
              <w:rPr>
                <w:rFonts w:asciiTheme="minorHAnsi" w:eastAsia="Times New Roman" w:hAnsiTheme="minorHAnsi" w:cstheme="minorHAnsi"/>
                <w:w w:val="100"/>
                <w:kern w:val="0"/>
                <w:sz w:val="19"/>
                <w:szCs w:val="19"/>
                <w:lang w:eastAsia="en-AU"/>
              </w:rPr>
              <w:lastRenderedPageBreak/>
              <w:t>and Formal Reviews (s 104).</w:t>
            </w:r>
          </w:p>
        </w:tc>
        <w:tc>
          <w:tcPr>
            <w:tcW w:w="503" w:type="pct"/>
            <w:tcBorders>
              <w:top w:val="single" w:sz="4" w:space="0" w:color="auto"/>
              <w:left w:val="nil"/>
              <w:bottom w:val="single" w:sz="4" w:space="0" w:color="auto"/>
              <w:right w:val="single" w:sz="4" w:space="0" w:color="auto"/>
            </w:tcBorders>
            <w:vAlign w:val="top"/>
            <w:hideMark/>
          </w:tcPr>
          <w:p w14:paraId="2E8B0A84" w14:textId="77777777" w:rsidR="00030303" w:rsidRPr="00DB2B77" w:rsidRDefault="00030303" w:rsidP="00030303">
            <w:pPr>
              <w:spacing w:before="60" w:after="60" w:line="240" w:lineRule="atLeast"/>
              <w:rPr>
                <w:rFonts w:asciiTheme="minorHAnsi" w:eastAsia="Times New Roman" w:hAnsiTheme="minorHAnsi" w:cstheme="minorHAnsi"/>
                <w:w w:val="100"/>
                <w:kern w:val="0"/>
                <w:sz w:val="19"/>
                <w:szCs w:val="19"/>
                <w:lang w:eastAsia="en-AU"/>
              </w:rPr>
            </w:pPr>
            <w:r w:rsidRPr="00DB2B77">
              <w:rPr>
                <w:rFonts w:asciiTheme="minorHAnsi" w:eastAsia="Times New Roman" w:hAnsiTheme="minorHAnsi" w:cstheme="minorHAnsi"/>
                <w:w w:val="100"/>
                <w:kern w:val="0"/>
                <w:sz w:val="19"/>
                <w:szCs w:val="19"/>
                <w:lang w:eastAsia="en-AU"/>
              </w:rPr>
              <w:lastRenderedPageBreak/>
              <w:t>N/A</w:t>
            </w:r>
            <w:r w:rsidRPr="00DB2B77">
              <w:rPr>
                <w:rFonts w:asciiTheme="minorHAnsi" w:eastAsia="Times New Roman" w:hAnsiTheme="minorHAnsi" w:cstheme="minorHAnsi"/>
                <w:w w:val="100"/>
                <w:kern w:val="0"/>
                <w:sz w:val="19"/>
                <w:szCs w:val="19"/>
                <w:vertAlign w:val="superscript"/>
                <w:lang w:eastAsia="en-AU"/>
              </w:rPr>
              <w:footnoteReference w:id="29"/>
            </w:r>
          </w:p>
        </w:tc>
      </w:tr>
      <w:tr w:rsidR="00030303" w:rsidRPr="00DB2B77" w14:paraId="5966CB7F" w14:textId="77777777" w:rsidTr="00030303">
        <w:tc>
          <w:tcPr>
            <w:tcW w:w="467" w:type="pct"/>
            <w:tcBorders>
              <w:top w:val="single" w:sz="4" w:space="0" w:color="auto"/>
              <w:left w:val="single" w:sz="4" w:space="0" w:color="auto"/>
              <w:bottom w:val="single" w:sz="4" w:space="0" w:color="auto"/>
              <w:right w:val="nil"/>
            </w:tcBorders>
            <w:vAlign w:val="top"/>
            <w:hideMark/>
          </w:tcPr>
          <w:p w14:paraId="75AC5216" w14:textId="77777777" w:rsidR="00030303" w:rsidRPr="00DB2B77" w:rsidRDefault="00030303" w:rsidP="00030303">
            <w:pPr>
              <w:spacing w:before="60" w:after="60" w:line="240" w:lineRule="atLeast"/>
              <w:rPr>
                <w:rFonts w:asciiTheme="minorHAnsi" w:eastAsia="Times New Roman" w:hAnsiTheme="minorHAnsi" w:cstheme="minorHAnsi"/>
                <w:b/>
                <w:w w:val="100"/>
                <w:kern w:val="0"/>
                <w:sz w:val="19"/>
                <w:szCs w:val="19"/>
                <w:lang w:eastAsia="en-AU"/>
              </w:rPr>
            </w:pPr>
            <w:r w:rsidRPr="00DB2B77">
              <w:rPr>
                <w:rFonts w:asciiTheme="minorHAnsi" w:eastAsia="Times New Roman" w:hAnsiTheme="minorHAnsi" w:cstheme="minorHAnsi"/>
                <w:b/>
                <w:w w:val="100"/>
                <w:kern w:val="0"/>
                <w:sz w:val="19"/>
                <w:szCs w:val="19"/>
                <w:lang w:eastAsia="en-AU"/>
              </w:rPr>
              <w:t>Availability of private sessions</w:t>
            </w:r>
            <w:r w:rsidRPr="00DB2B77">
              <w:rPr>
                <w:rFonts w:asciiTheme="minorHAnsi" w:eastAsia="Times New Roman" w:hAnsiTheme="minorHAnsi" w:cstheme="minorHAnsi"/>
                <w:b/>
                <w:w w:val="100"/>
                <w:kern w:val="0"/>
                <w:sz w:val="19"/>
                <w:szCs w:val="19"/>
                <w:vertAlign w:val="superscript"/>
                <w:lang w:eastAsia="en-AU"/>
              </w:rPr>
              <w:footnoteReference w:id="30"/>
            </w:r>
          </w:p>
        </w:tc>
        <w:tc>
          <w:tcPr>
            <w:tcW w:w="503" w:type="pct"/>
            <w:tcBorders>
              <w:top w:val="single" w:sz="4" w:space="0" w:color="auto"/>
              <w:left w:val="nil"/>
              <w:bottom w:val="single" w:sz="4" w:space="0" w:color="auto"/>
              <w:right w:val="nil"/>
            </w:tcBorders>
            <w:shd w:val="clear" w:color="auto" w:fill="D9D9D9"/>
            <w:vAlign w:val="top"/>
            <w:hideMark/>
          </w:tcPr>
          <w:p w14:paraId="6ED6184A" w14:textId="77777777" w:rsidR="00030303" w:rsidRPr="00DB2B77" w:rsidRDefault="00030303" w:rsidP="00030303">
            <w:pPr>
              <w:spacing w:before="60" w:after="60" w:line="240" w:lineRule="atLeast"/>
              <w:rPr>
                <w:rFonts w:asciiTheme="minorHAnsi" w:eastAsia="Times New Roman" w:hAnsiTheme="minorHAnsi" w:cstheme="minorHAnsi"/>
                <w:w w:val="100"/>
                <w:kern w:val="0"/>
                <w:sz w:val="19"/>
                <w:szCs w:val="19"/>
                <w:highlight w:val="yellow"/>
                <w:lang w:eastAsia="en-AU"/>
              </w:rPr>
            </w:pPr>
            <w:r w:rsidRPr="00DB2B77">
              <w:rPr>
                <w:rFonts w:asciiTheme="minorHAnsi" w:eastAsia="Times New Roman" w:hAnsiTheme="minorHAnsi" w:cstheme="minorHAnsi"/>
                <w:w w:val="100"/>
                <w:kern w:val="0"/>
                <w:sz w:val="19"/>
                <w:szCs w:val="19"/>
                <w:lang w:eastAsia="en-AU"/>
              </w:rPr>
              <w:t>A prescribed Commission (s 60AB) may hold a private session to obtain relevant information (s 6OB).</w:t>
            </w:r>
          </w:p>
        </w:tc>
        <w:tc>
          <w:tcPr>
            <w:tcW w:w="504" w:type="pct"/>
            <w:tcBorders>
              <w:top w:val="single" w:sz="4" w:space="0" w:color="auto"/>
              <w:left w:val="nil"/>
              <w:bottom w:val="single" w:sz="4" w:space="0" w:color="auto"/>
              <w:right w:val="nil"/>
            </w:tcBorders>
            <w:vAlign w:val="top"/>
            <w:hideMark/>
          </w:tcPr>
          <w:p w14:paraId="266ECA4B" w14:textId="77777777" w:rsidR="00030303" w:rsidRPr="00DB2B77" w:rsidRDefault="00030303" w:rsidP="00030303">
            <w:pPr>
              <w:spacing w:before="60" w:after="60" w:line="240" w:lineRule="atLeast"/>
              <w:rPr>
                <w:rFonts w:asciiTheme="minorHAnsi" w:eastAsia="Times New Roman" w:hAnsiTheme="minorHAnsi" w:cstheme="minorHAnsi"/>
                <w:b/>
                <w:w w:val="100"/>
                <w:kern w:val="0"/>
                <w:sz w:val="19"/>
                <w:szCs w:val="19"/>
                <w:lang w:eastAsia="en-AU"/>
              </w:rPr>
            </w:pPr>
            <w:r w:rsidRPr="00DB2B77">
              <w:rPr>
                <w:rFonts w:asciiTheme="minorHAnsi" w:eastAsia="Times New Roman" w:hAnsiTheme="minorHAnsi" w:cstheme="minorHAnsi"/>
                <w:w w:val="100"/>
                <w:kern w:val="0"/>
                <w:sz w:val="19"/>
                <w:szCs w:val="19"/>
                <w:lang w:eastAsia="en-AU"/>
              </w:rPr>
              <w:t>N/A</w:t>
            </w:r>
          </w:p>
        </w:tc>
        <w:tc>
          <w:tcPr>
            <w:tcW w:w="504" w:type="pct"/>
            <w:tcBorders>
              <w:top w:val="single" w:sz="4" w:space="0" w:color="auto"/>
              <w:left w:val="nil"/>
              <w:bottom w:val="single" w:sz="4" w:space="0" w:color="auto"/>
              <w:right w:val="nil"/>
            </w:tcBorders>
            <w:vAlign w:val="top"/>
            <w:hideMark/>
          </w:tcPr>
          <w:p w14:paraId="03535905" w14:textId="77777777" w:rsidR="00030303" w:rsidRPr="00DB2B77" w:rsidRDefault="00030303" w:rsidP="00030303">
            <w:pPr>
              <w:spacing w:before="60" w:after="60" w:line="240" w:lineRule="atLeast"/>
              <w:rPr>
                <w:rFonts w:asciiTheme="minorHAnsi" w:eastAsia="Times New Roman" w:hAnsiTheme="minorHAnsi" w:cstheme="minorHAnsi"/>
                <w:b/>
                <w:w w:val="100"/>
                <w:kern w:val="0"/>
                <w:sz w:val="19"/>
                <w:szCs w:val="19"/>
                <w:lang w:eastAsia="en-AU"/>
              </w:rPr>
            </w:pPr>
            <w:r w:rsidRPr="00DB2B77">
              <w:rPr>
                <w:rFonts w:asciiTheme="minorHAnsi" w:eastAsia="Times New Roman" w:hAnsiTheme="minorHAnsi" w:cstheme="minorHAnsi"/>
                <w:w w:val="100"/>
                <w:kern w:val="0"/>
                <w:sz w:val="19"/>
                <w:szCs w:val="19"/>
                <w:lang w:eastAsia="en-AU"/>
              </w:rPr>
              <w:t>N/A</w:t>
            </w:r>
          </w:p>
        </w:tc>
        <w:tc>
          <w:tcPr>
            <w:tcW w:w="504" w:type="pct"/>
            <w:tcBorders>
              <w:top w:val="single" w:sz="4" w:space="0" w:color="auto"/>
              <w:left w:val="nil"/>
              <w:bottom w:val="single" w:sz="4" w:space="0" w:color="auto"/>
              <w:right w:val="nil"/>
            </w:tcBorders>
            <w:vAlign w:val="top"/>
            <w:hideMark/>
          </w:tcPr>
          <w:p w14:paraId="2F8ACA04" w14:textId="77777777" w:rsidR="00030303" w:rsidRPr="00DB2B77" w:rsidRDefault="00030303" w:rsidP="00030303">
            <w:pPr>
              <w:spacing w:before="60" w:after="60" w:line="240" w:lineRule="atLeast"/>
              <w:rPr>
                <w:rFonts w:asciiTheme="minorHAnsi" w:eastAsia="Times New Roman" w:hAnsiTheme="minorHAnsi" w:cstheme="minorHAnsi"/>
                <w:b/>
                <w:w w:val="100"/>
                <w:kern w:val="0"/>
                <w:sz w:val="19"/>
                <w:szCs w:val="19"/>
                <w:lang w:eastAsia="en-AU"/>
              </w:rPr>
            </w:pPr>
            <w:r w:rsidRPr="00DB2B77">
              <w:rPr>
                <w:rFonts w:asciiTheme="minorHAnsi" w:eastAsia="Times New Roman" w:hAnsiTheme="minorHAnsi" w:cstheme="minorHAnsi"/>
                <w:w w:val="100"/>
                <w:kern w:val="0"/>
                <w:sz w:val="19"/>
                <w:szCs w:val="19"/>
                <w:lang w:eastAsia="en-AU"/>
              </w:rPr>
              <w:t>N/A</w:t>
            </w:r>
          </w:p>
        </w:tc>
        <w:tc>
          <w:tcPr>
            <w:tcW w:w="504" w:type="pct"/>
            <w:tcBorders>
              <w:top w:val="single" w:sz="4" w:space="0" w:color="auto"/>
              <w:left w:val="nil"/>
              <w:bottom w:val="single" w:sz="4" w:space="0" w:color="auto"/>
              <w:right w:val="nil"/>
            </w:tcBorders>
            <w:vAlign w:val="top"/>
            <w:hideMark/>
          </w:tcPr>
          <w:p w14:paraId="7A74D3F1" w14:textId="77777777" w:rsidR="00030303" w:rsidRPr="00DB2B77" w:rsidRDefault="00030303" w:rsidP="00030303">
            <w:pPr>
              <w:spacing w:before="60" w:after="60" w:line="240" w:lineRule="atLeast"/>
              <w:rPr>
                <w:rFonts w:asciiTheme="minorHAnsi" w:eastAsia="Times New Roman" w:hAnsiTheme="minorHAnsi" w:cstheme="minorHAnsi"/>
                <w:b/>
                <w:w w:val="100"/>
                <w:kern w:val="0"/>
                <w:sz w:val="19"/>
                <w:szCs w:val="19"/>
                <w:lang w:eastAsia="en-AU"/>
              </w:rPr>
            </w:pPr>
            <w:r w:rsidRPr="00DB2B77">
              <w:rPr>
                <w:rFonts w:asciiTheme="minorHAnsi" w:eastAsia="Times New Roman" w:hAnsiTheme="minorHAnsi" w:cstheme="minorHAnsi"/>
                <w:w w:val="100"/>
                <w:kern w:val="0"/>
                <w:sz w:val="19"/>
                <w:szCs w:val="19"/>
                <w:lang w:eastAsia="en-AU"/>
              </w:rPr>
              <w:t>N/A</w:t>
            </w:r>
          </w:p>
        </w:tc>
        <w:tc>
          <w:tcPr>
            <w:tcW w:w="504" w:type="pct"/>
            <w:tcBorders>
              <w:top w:val="single" w:sz="4" w:space="0" w:color="auto"/>
              <w:left w:val="nil"/>
              <w:bottom w:val="single" w:sz="4" w:space="0" w:color="auto"/>
              <w:right w:val="nil"/>
            </w:tcBorders>
            <w:vAlign w:val="top"/>
            <w:hideMark/>
          </w:tcPr>
          <w:p w14:paraId="6EF3C93F" w14:textId="77777777" w:rsidR="00030303" w:rsidRPr="00DB2B77" w:rsidRDefault="00030303" w:rsidP="00030303">
            <w:pPr>
              <w:spacing w:before="60" w:after="60" w:line="240" w:lineRule="atLeast"/>
              <w:rPr>
                <w:rFonts w:asciiTheme="minorHAnsi" w:eastAsia="Times New Roman" w:hAnsiTheme="minorHAnsi" w:cstheme="minorHAnsi"/>
                <w:b/>
                <w:w w:val="100"/>
                <w:kern w:val="0"/>
                <w:sz w:val="19"/>
                <w:szCs w:val="19"/>
                <w:lang w:eastAsia="en-AU"/>
              </w:rPr>
            </w:pPr>
            <w:r w:rsidRPr="00DB2B77">
              <w:rPr>
                <w:rFonts w:asciiTheme="minorHAnsi" w:eastAsia="Times New Roman" w:hAnsiTheme="minorHAnsi" w:cstheme="minorHAnsi"/>
                <w:w w:val="100"/>
                <w:kern w:val="0"/>
                <w:sz w:val="19"/>
                <w:szCs w:val="19"/>
                <w:lang w:eastAsia="en-AU"/>
              </w:rPr>
              <w:t>N/A</w:t>
            </w:r>
          </w:p>
        </w:tc>
        <w:tc>
          <w:tcPr>
            <w:tcW w:w="504" w:type="pct"/>
            <w:tcBorders>
              <w:top w:val="single" w:sz="4" w:space="0" w:color="auto"/>
              <w:left w:val="nil"/>
              <w:bottom w:val="single" w:sz="4" w:space="0" w:color="auto"/>
              <w:right w:val="nil"/>
            </w:tcBorders>
            <w:vAlign w:val="top"/>
            <w:hideMark/>
          </w:tcPr>
          <w:p w14:paraId="197C6A1A" w14:textId="77777777" w:rsidR="00030303" w:rsidRPr="00DB2B77" w:rsidRDefault="00030303" w:rsidP="00030303">
            <w:pPr>
              <w:spacing w:before="60" w:after="60" w:line="240" w:lineRule="atLeast"/>
              <w:rPr>
                <w:rFonts w:asciiTheme="minorHAnsi" w:eastAsia="Times New Roman" w:hAnsiTheme="minorHAnsi" w:cstheme="minorHAnsi"/>
                <w:w w:val="100"/>
                <w:kern w:val="0"/>
                <w:sz w:val="19"/>
                <w:szCs w:val="19"/>
                <w:lang w:eastAsia="en-AU"/>
              </w:rPr>
            </w:pPr>
            <w:r w:rsidRPr="00DB2B77">
              <w:rPr>
                <w:rFonts w:asciiTheme="minorHAnsi" w:eastAsia="Times New Roman" w:hAnsiTheme="minorHAnsi" w:cstheme="minorHAnsi"/>
                <w:w w:val="100"/>
                <w:kern w:val="0"/>
                <w:sz w:val="19"/>
                <w:szCs w:val="19"/>
                <w:lang w:eastAsia="en-AU"/>
              </w:rPr>
              <w:t>A Commission may hold a private session to obtain relevant information (s 19</w:t>
            </w:r>
            <w:proofErr w:type="gramStart"/>
            <w:r w:rsidRPr="00DB2B77">
              <w:rPr>
                <w:rFonts w:asciiTheme="minorHAnsi" w:eastAsia="Times New Roman" w:hAnsiTheme="minorHAnsi" w:cstheme="minorHAnsi"/>
                <w:w w:val="100"/>
                <w:kern w:val="0"/>
                <w:sz w:val="19"/>
                <w:szCs w:val="19"/>
                <w:lang w:eastAsia="en-AU"/>
              </w:rPr>
              <w:t>A(</w:t>
            </w:r>
            <w:proofErr w:type="gramEnd"/>
            <w:r w:rsidRPr="00DB2B77">
              <w:rPr>
                <w:rFonts w:asciiTheme="minorHAnsi" w:eastAsia="Times New Roman" w:hAnsiTheme="minorHAnsi" w:cstheme="minorHAnsi"/>
                <w:w w:val="100"/>
                <w:kern w:val="0"/>
                <w:sz w:val="19"/>
                <w:szCs w:val="19"/>
                <w:lang w:eastAsia="en-AU"/>
              </w:rPr>
              <w:t>1)).</w:t>
            </w:r>
          </w:p>
        </w:tc>
        <w:tc>
          <w:tcPr>
            <w:tcW w:w="503" w:type="pct"/>
            <w:tcBorders>
              <w:top w:val="single" w:sz="4" w:space="0" w:color="auto"/>
              <w:left w:val="nil"/>
              <w:bottom w:val="single" w:sz="4" w:space="0" w:color="auto"/>
              <w:right w:val="nil"/>
            </w:tcBorders>
            <w:vAlign w:val="top"/>
            <w:hideMark/>
          </w:tcPr>
          <w:p w14:paraId="54FF36CB" w14:textId="77777777" w:rsidR="00030303" w:rsidRPr="00DB2B77" w:rsidRDefault="00030303" w:rsidP="00030303">
            <w:pPr>
              <w:spacing w:before="60" w:after="60" w:line="240" w:lineRule="atLeast"/>
              <w:rPr>
                <w:rFonts w:asciiTheme="minorHAnsi" w:eastAsia="Times New Roman" w:hAnsiTheme="minorHAnsi" w:cstheme="minorHAnsi"/>
                <w:b/>
                <w:w w:val="100"/>
                <w:kern w:val="0"/>
                <w:sz w:val="19"/>
                <w:szCs w:val="19"/>
                <w:lang w:eastAsia="en-AU"/>
              </w:rPr>
            </w:pPr>
            <w:r w:rsidRPr="00DB2B77">
              <w:rPr>
                <w:rFonts w:asciiTheme="minorHAnsi" w:eastAsia="Times New Roman" w:hAnsiTheme="minorHAnsi" w:cstheme="minorHAnsi"/>
                <w:w w:val="100"/>
                <w:kern w:val="0"/>
                <w:sz w:val="19"/>
                <w:szCs w:val="19"/>
                <w:lang w:eastAsia="en-AU"/>
              </w:rPr>
              <w:t>N/A</w:t>
            </w:r>
          </w:p>
        </w:tc>
        <w:tc>
          <w:tcPr>
            <w:tcW w:w="503" w:type="pct"/>
            <w:tcBorders>
              <w:top w:val="single" w:sz="4" w:space="0" w:color="auto"/>
              <w:left w:val="nil"/>
              <w:bottom w:val="single" w:sz="4" w:space="0" w:color="auto"/>
              <w:right w:val="single" w:sz="4" w:space="0" w:color="auto"/>
            </w:tcBorders>
            <w:vAlign w:val="top"/>
            <w:hideMark/>
          </w:tcPr>
          <w:p w14:paraId="5DE5F14C" w14:textId="77777777" w:rsidR="00030303" w:rsidRPr="00DB2B77" w:rsidRDefault="00030303" w:rsidP="00030303">
            <w:pPr>
              <w:spacing w:before="60" w:after="60" w:line="240" w:lineRule="atLeast"/>
              <w:rPr>
                <w:rFonts w:asciiTheme="minorHAnsi" w:eastAsia="Times New Roman" w:hAnsiTheme="minorHAnsi" w:cstheme="minorHAnsi"/>
                <w:b/>
                <w:w w:val="100"/>
                <w:kern w:val="0"/>
                <w:sz w:val="19"/>
                <w:szCs w:val="19"/>
                <w:lang w:eastAsia="en-AU"/>
              </w:rPr>
            </w:pPr>
            <w:r w:rsidRPr="00DB2B77">
              <w:rPr>
                <w:rFonts w:asciiTheme="minorHAnsi" w:eastAsia="Times New Roman" w:hAnsiTheme="minorHAnsi" w:cstheme="minorHAnsi"/>
                <w:w w:val="100"/>
                <w:kern w:val="0"/>
                <w:sz w:val="19"/>
                <w:szCs w:val="19"/>
                <w:lang w:eastAsia="en-AU"/>
              </w:rPr>
              <w:t>N/A</w:t>
            </w:r>
          </w:p>
        </w:tc>
      </w:tr>
      <w:tr w:rsidR="00030303" w:rsidRPr="00DB2B77" w14:paraId="506201E5" w14:textId="77777777" w:rsidTr="00030303">
        <w:tc>
          <w:tcPr>
            <w:tcW w:w="467" w:type="pct"/>
            <w:tcBorders>
              <w:top w:val="single" w:sz="4" w:space="0" w:color="auto"/>
              <w:left w:val="single" w:sz="4" w:space="0" w:color="auto"/>
              <w:bottom w:val="single" w:sz="4" w:space="0" w:color="auto"/>
              <w:right w:val="nil"/>
            </w:tcBorders>
            <w:vAlign w:val="top"/>
            <w:hideMark/>
          </w:tcPr>
          <w:p w14:paraId="5799ADA3" w14:textId="77777777" w:rsidR="00030303" w:rsidRPr="00DB2B77" w:rsidRDefault="00030303" w:rsidP="00030303">
            <w:pPr>
              <w:spacing w:before="60" w:after="60" w:line="240" w:lineRule="atLeast"/>
              <w:rPr>
                <w:rFonts w:asciiTheme="minorHAnsi" w:eastAsia="Times New Roman" w:hAnsiTheme="minorHAnsi" w:cstheme="minorHAnsi"/>
                <w:b/>
                <w:w w:val="100"/>
                <w:kern w:val="0"/>
                <w:sz w:val="19"/>
                <w:szCs w:val="19"/>
                <w:lang w:eastAsia="en-AU"/>
              </w:rPr>
            </w:pPr>
            <w:r w:rsidRPr="00DB2B77">
              <w:rPr>
                <w:rFonts w:asciiTheme="minorHAnsi" w:eastAsia="Times New Roman" w:hAnsiTheme="minorHAnsi" w:cstheme="minorHAnsi"/>
                <w:b/>
                <w:w w:val="100"/>
                <w:kern w:val="0"/>
                <w:sz w:val="19"/>
                <w:szCs w:val="19"/>
                <w:lang w:eastAsia="en-AU"/>
              </w:rPr>
              <w:t xml:space="preserve">Use of private </w:t>
            </w:r>
            <w:r w:rsidRPr="00DB2B77">
              <w:rPr>
                <w:rFonts w:asciiTheme="minorHAnsi" w:eastAsia="Times New Roman" w:hAnsiTheme="minorHAnsi" w:cstheme="minorHAnsi"/>
                <w:b/>
                <w:w w:val="100"/>
                <w:kern w:val="0"/>
                <w:sz w:val="19"/>
                <w:szCs w:val="19"/>
                <w:lang w:eastAsia="en-AU"/>
              </w:rPr>
              <w:lastRenderedPageBreak/>
              <w:t>sessions information in report</w:t>
            </w:r>
          </w:p>
        </w:tc>
        <w:tc>
          <w:tcPr>
            <w:tcW w:w="503" w:type="pct"/>
            <w:tcBorders>
              <w:top w:val="single" w:sz="4" w:space="0" w:color="auto"/>
              <w:left w:val="nil"/>
              <w:bottom w:val="single" w:sz="4" w:space="0" w:color="auto"/>
              <w:right w:val="nil"/>
            </w:tcBorders>
            <w:shd w:val="clear" w:color="auto" w:fill="D9D9D9"/>
            <w:vAlign w:val="top"/>
            <w:hideMark/>
          </w:tcPr>
          <w:p w14:paraId="3DA732A3" w14:textId="77777777" w:rsidR="00030303" w:rsidRPr="00DB2B77" w:rsidRDefault="00030303" w:rsidP="00030303">
            <w:pPr>
              <w:spacing w:before="60" w:after="60" w:line="240" w:lineRule="atLeast"/>
              <w:rPr>
                <w:rFonts w:asciiTheme="minorHAnsi" w:eastAsia="Times New Roman" w:hAnsiTheme="minorHAnsi" w:cstheme="minorHAnsi"/>
                <w:w w:val="100"/>
                <w:kern w:val="0"/>
                <w:sz w:val="19"/>
                <w:szCs w:val="19"/>
                <w:lang w:eastAsia="en-AU"/>
              </w:rPr>
            </w:pPr>
            <w:r w:rsidRPr="00DB2B77">
              <w:rPr>
                <w:rFonts w:asciiTheme="minorHAnsi" w:eastAsia="Times New Roman" w:hAnsiTheme="minorHAnsi" w:cstheme="minorHAnsi"/>
                <w:w w:val="100"/>
                <w:kern w:val="0"/>
                <w:sz w:val="19"/>
                <w:szCs w:val="19"/>
                <w:lang w:eastAsia="en-AU"/>
              </w:rPr>
              <w:lastRenderedPageBreak/>
              <w:t xml:space="preserve">Information relating to a </w:t>
            </w:r>
            <w:r w:rsidRPr="00DB2B77">
              <w:rPr>
                <w:rFonts w:asciiTheme="minorHAnsi" w:eastAsia="Times New Roman" w:hAnsiTheme="minorHAnsi" w:cstheme="minorHAnsi"/>
                <w:w w:val="100"/>
                <w:kern w:val="0"/>
                <w:sz w:val="19"/>
                <w:szCs w:val="19"/>
                <w:lang w:eastAsia="en-AU"/>
              </w:rPr>
              <w:lastRenderedPageBreak/>
              <w:t>natural person obtained at a private session or given to the Commission for the purposes of a private session (whether or not a private session was, or is to be, held) may only be included in a report or if it is also given in evidence to the Commission or under a summons, requirement or notice, or it is de-identified (s 6OJ).</w:t>
            </w:r>
          </w:p>
        </w:tc>
        <w:tc>
          <w:tcPr>
            <w:tcW w:w="504" w:type="pct"/>
            <w:tcBorders>
              <w:top w:val="single" w:sz="4" w:space="0" w:color="auto"/>
              <w:left w:val="nil"/>
              <w:bottom w:val="single" w:sz="4" w:space="0" w:color="auto"/>
              <w:right w:val="nil"/>
            </w:tcBorders>
            <w:vAlign w:val="top"/>
            <w:hideMark/>
          </w:tcPr>
          <w:p w14:paraId="524E6AAF" w14:textId="77777777" w:rsidR="00030303" w:rsidRPr="00DB2B77" w:rsidRDefault="00030303" w:rsidP="00030303">
            <w:pPr>
              <w:spacing w:before="60" w:after="60" w:line="240" w:lineRule="atLeast"/>
              <w:rPr>
                <w:rFonts w:asciiTheme="minorHAnsi" w:eastAsia="Times New Roman" w:hAnsiTheme="minorHAnsi" w:cstheme="minorHAnsi"/>
                <w:b/>
                <w:w w:val="100"/>
                <w:kern w:val="0"/>
                <w:sz w:val="19"/>
                <w:szCs w:val="19"/>
                <w:lang w:eastAsia="en-AU"/>
              </w:rPr>
            </w:pPr>
            <w:r w:rsidRPr="00DB2B77">
              <w:rPr>
                <w:rFonts w:asciiTheme="minorHAnsi" w:eastAsia="Times New Roman" w:hAnsiTheme="minorHAnsi" w:cstheme="minorHAnsi"/>
                <w:w w:val="100"/>
                <w:kern w:val="0"/>
                <w:sz w:val="19"/>
                <w:szCs w:val="19"/>
                <w:lang w:eastAsia="en-AU"/>
              </w:rPr>
              <w:lastRenderedPageBreak/>
              <w:t>N/A</w:t>
            </w:r>
          </w:p>
        </w:tc>
        <w:tc>
          <w:tcPr>
            <w:tcW w:w="504" w:type="pct"/>
            <w:tcBorders>
              <w:top w:val="single" w:sz="4" w:space="0" w:color="auto"/>
              <w:left w:val="nil"/>
              <w:bottom w:val="single" w:sz="4" w:space="0" w:color="auto"/>
              <w:right w:val="nil"/>
            </w:tcBorders>
            <w:vAlign w:val="top"/>
            <w:hideMark/>
          </w:tcPr>
          <w:p w14:paraId="255FA2C1" w14:textId="77777777" w:rsidR="00030303" w:rsidRPr="00DB2B77" w:rsidRDefault="00030303" w:rsidP="00030303">
            <w:pPr>
              <w:spacing w:before="60" w:after="60" w:line="240" w:lineRule="atLeast"/>
              <w:rPr>
                <w:rFonts w:asciiTheme="minorHAnsi" w:eastAsia="Times New Roman" w:hAnsiTheme="minorHAnsi" w:cstheme="minorHAnsi"/>
                <w:b/>
                <w:w w:val="100"/>
                <w:kern w:val="0"/>
                <w:sz w:val="19"/>
                <w:szCs w:val="19"/>
                <w:lang w:eastAsia="en-AU"/>
              </w:rPr>
            </w:pPr>
            <w:r w:rsidRPr="00DB2B77">
              <w:rPr>
                <w:rFonts w:asciiTheme="minorHAnsi" w:eastAsia="Times New Roman" w:hAnsiTheme="minorHAnsi" w:cstheme="minorHAnsi"/>
                <w:w w:val="100"/>
                <w:kern w:val="0"/>
                <w:sz w:val="19"/>
                <w:szCs w:val="19"/>
                <w:lang w:eastAsia="en-AU"/>
              </w:rPr>
              <w:t>N/A</w:t>
            </w:r>
          </w:p>
        </w:tc>
        <w:tc>
          <w:tcPr>
            <w:tcW w:w="504" w:type="pct"/>
            <w:tcBorders>
              <w:top w:val="single" w:sz="4" w:space="0" w:color="auto"/>
              <w:left w:val="nil"/>
              <w:bottom w:val="single" w:sz="4" w:space="0" w:color="auto"/>
              <w:right w:val="nil"/>
            </w:tcBorders>
            <w:vAlign w:val="top"/>
            <w:hideMark/>
          </w:tcPr>
          <w:p w14:paraId="60F37E28" w14:textId="77777777" w:rsidR="00030303" w:rsidRPr="00DB2B77" w:rsidRDefault="00030303" w:rsidP="00030303">
            <w:pPr>
              <w:spacing w:before="60" w:after="60" w:line="240" w:lineRule="atLeast"/>
              <w:rPr>
                <w:rFonts w:asciiTheme="minorHAnsi" w:eastAsia="Times New Roman" w:hAnsiTheme="minorHAnsi" w:cstheme="minorHAnsi"/>
                <w:b/>
                <w:w w:val="100"/>
                <w:kern w:val="0"/>
                <w:sz w:val="19"/>
                <w:szCs w:val="19"/>
                <w:lang w:eastAsia="en-AU"/>
              </w:rPr>
            </w:pPr>
            <w:r w:rsidRPr="00DB2B77">
              <w:rPr>
                <w:rFonts w:asciiTheme="minorHAnsi" w:eastAsia="Times New Roman" w:hAnsiTheme="minorHAnsi" w:cstheme="minorHAnsi"/>
                <w:w w:val="100"/>
                <w:kern w:val="0"/>
                <w:sz w:val="19"/>
                <w:szCs w:val="19"/>
                <w:lang w:eastAsia="en-AU"/>
              </w:rPr>
              <w:t>N/A</w:t>
            </w:r>
          </w:p>
        </w:tc>
        <w:tc>
          <w:tcPr>
            <w:tcW w:w="504" w:type="pct"/>
            <w:tcBorders>
              <w:top w:val="single" w:sz="4" w:space="0" w:color="auto"/>
              <w:left w:val="nil"/>
              <w:bottom w:val="single" w:sz="4" w:space="0" w:color="auto"/>
              <w:right w:val="nil"/>
            </w:tcBorders>
            <w:vAlign w:val="top"/>
            <w:hideMark/>
          </w:tcPr>
          <w:p w14:paraId="783BBFA3" w14:textId="77777777" w:rsidR="00030303" w:rsidRPr="00DB2B77" w:rsidRDefault="00030303" w:rsidP="00030303">
            <w:pPr>
              <w:spacing w:before="60" w:after="60" w:line="240" w:lineRule="atLeast"/>
              <w:rPr>
                <w:rFonts w:asciiTheme="minorHAnsi" w:eastAsia="Times New Roman" w:hAnsiTheme="minorHAnsi" w:cstheme="minorHAnsi"/>
                <w:b/>
                <w:w w:val="100"/>
                <w:kern w:val="0"/>
                <w:sz w:val="19"/>
                <w:szCs w:val="19"/>
                <w:lang w:eastAsia="en-AU"/>
              </w:rPr>
            </w:pPr>
            <w:r w:rsidRPr="00DB2B77">
              <w:rPr>
                <w:rFonts w:asciiTheme="minorHAnsi" w:eastAsia="Times New Roman" w:hAnsiTheme="minorHAnsi" w:cstheme="minorHAnsi"/>
                <w:w w:val="100"/>
                <w:kern w:val="0"/>
                <w:sz w:val="19"/>
                <w:szCs w:val="19"/>
                <w:lang w:eastAsia="en-AU"/>
              </w:rPr>
              <w:t>N/A</w:t>
            </w:r>
          </w:p>
        </w:tc>
        <w:tc>
          <w:tcPr>
            <w:tcW w:w="504" w:type="pct"/>
            <w:tcBorders>
              <w:top w:val="single" w:sz="4" w:space="0" w:color="auto"/>
              <w:left w:val="nil"/>
              <w:bottom w:val="single" w:sz="4" w:space="0" w:color="auto"/>
              <w:right w:val="nil"/>
            </w:tcBorders>
            <w:vAlign w:val="top"/>
            <w:hideMark/>
          </w:tcPr>
          <w:p w14:paraId="2733BAC4" w14:textId="77777777" w:rsidR="00030303" w:rsidRPr="00DB2B77" w:rsidRDefault="00030303" w:rsidP="00030303">
            <w:pPr>
              <w:spacing w:before="60" w:after="60" w:line="240" w:lineRule="atLeast"/>
              <w:rPr>
                <w:rFonts w:asciiTheme="minorHAnsi" w:eastAsia="Times New Roman" w:hAnsiTheme="minorHAnsi" w:cstheme="minorHAnsi"/>
                <w:b/>
                <w:w w:val="100"/>
                <w:kern w:val="0"/>
                <w:sz w:val="19"/>
                <w:szCs w:val="19"/>
                <w:lang w:eastAsia="en-AU"/>
              </w:rPr>
            </w:pPr>
            <w:r w:rsidRPr="00DB2B77">
              <w:rPr>
                <w:rFonts w:asciiTheme="minorHAnsi" w:eastAsia="Times New Roman" w:hAnsiTheme="minorHAnsi" w:cstheme="minorHAnsi"/>
                <w:w w:val="100"/>
                <w:kern w:val="0"/>
                <w:sz w:val="19"/>
                <w:szCs w:val="19"/>
                <w:lang w:eastAsia="en-AU"/>
              </w:rPr>
              <w:t>N/A</w:t>
            </w:r>
          </w:p>
        </w:tc>
        <w:tc>
          <w:tcPr>
            <w:tcW w:w="504" w:type="pct"/>
            <w:tcBorders>
              <w:top w:val="single" w:sz="4" w:space="0" w:color="auto"/>
              <w:left w:val="nil"/>
              <w:bottom w:val="single" w:sz="4" w:space="0" w:color="auto"/>
              <w:right w:val="nil"/>
            </w:tcBorders>
            <w:vAlign w:val="top"/>
            <w:hideMark/>
          </w:tcPr>
          <w:p w14:paraId="0690B012" w14:textId="77777777" w:rsidR="00030303" w:rsidRPr="00DB2B77" w:rsidRDefault="00030303" w:rsidP="00030303">
            <w:pPr>
              <w:spacing w:before="60" w:after="60" w:line="240" w:lineRule="atLeast"/>
              <w:rPr>
                <w:rFonts w:asciiTheme="minorHAnsi" w:eastAsia="Times New Roman" w:hAnsiTheme="minorHAnsi" w:cstheme="minorHAnsi"/>
                <w:w w:val="100"/>
                <w:kern w:val="0"/>
                <w:sz w:val="19"/>
                <w:szCs w:val="19"/>
                <w:lang w:eastAsia="en-AU"/>
              </w:rPr>
            </w:pPr>
            <w:r w:rsidRPr="00DB2B77">
              <w:rPr>
                <w:rFonts w:asciiTheme="minorHAnsi" w:eastAsia="Times New Roman" w:hAnsiTheme="minorHAnsi" w:cstheme="minorHAnsi"/>
                <w:w w:val="100"/>
                <w:kern w:val="0"/>
                <w:sz w:val="19"/>
                <w:szCs w:val="19"/>
                <w:lang w:eastAsia="en-AU"/>
              </w:rPr>
              <w:t xml:space="preserve">Information relating to an </w:t>
            </w:r>
            <w:r w:rsidRPr="00DB2B77">
              <w:rPr>
                <w:rFonts w:asciiTheme="minorHAnsi" w:eastAsia="Times New Roman" w:hAnsiTheme="minorHAnsi" w:cstheme="minorHAnsi"/>
                <w:w w:val="100"/>
                <w:kern w:val="0"/>
                <w:sz w:val="19"/>
                <w:szCs w:val="19"/>
                <w:lang w:eastAsia="en-AU"/>
              </w:rPr>
              <w:lastRenderedPageBreak/>
              <w:t>individual that has been provided at a private session or given to the Commission solely for the purposes of a private session or proposed private session may only be included in a report or recommendation if it is also given in evidence to the Commission other than at a private session, or it does not allow identification of the individual (s 19(5)).</w:t>
            </w:r>
          </w:p>
        </w:tc>
        <w:tc>
          <w:tcPr>
            <w:tcW w:w="503" w:type="pct"/>
            <w:tcBorders>
              <w:top w:val="single" w:sz="4" w:space="0" w:color="auto"/>
              <w:left w:val="nil"/>
              <w:bottom w:val="single" w:sz="4" w:space="0" w:color="auto"/>
              <w:right w:val="nil"/>
            </w:tcBorders>
            <w:vAlign w:val="top"/>
            <w:hideMark/>
          </w:tcPr>
          <w:p w14:paraId="77BF6539" w14:textId="77777777" w:rsidR="00030303" w:rsidRPr="00DB2B77" w:rsidRDefault="00030303" w:rsidP="00030303">
            <w:pPr>
              <w:spacing w:before="60" w:after="60" w:line="240" w:lineRule="atLeast"/>
              <w:rPr>
                <w:rFonts w:asciiTheme="minorHAnsi" w:eastAsia="Times New Roman" w:hAnsiTheme="minorHAnsi" w:cstheme="minorHAnsi"/>
                <w:b/>
                <w:w w:val="100"/>
                <w:kern w:val="0"/>
                <w:sz w:val="19"/>
                <w:szCs w:val="19"/>
                <w:lang w:eastAsia="en-AU"/>
              </w:rPr>
            </w:pPr>
            <w:r w:rsidRPr="00DB2B77">
              <w:rPr>
                <w:rFonts w:asciiTheme="minorHAnsi" w:eastAsia="Times New Roman" w:hAnsiTheme="minorHAnsi" w:cstheme="minorHAnsi"/>
                <w:w w:val="100"/>
                <w:kern w:val="0"/>
                <w:sz w:val="19"/>
                <w:szCs w:val="19"/>
                <w:lang w:eastAsia="en-AU"/>
              </w:rPr>
              <w:lastRenderedPageBreak/>
              <w:t>N/A</w:t>
            </w:r>
          </w:p>
        </w:tc>
        <w:tc>
          <w:tcPr>
            <w:tcW w:w="503" w:type="pct"/>
            <w:tcBorders>
              <w:top w:val="single" w:sz="4" w:space="0" w:color="auto"/>
              <w:left w:val="nil"/>
              <w:bottom w:val="single" w:sz="4" w:space="0" w:color="auto"/>
              <w:right w:val="single" w:sz="4" w:space="0" w:color="auto"/>
            </w:tcBorders>
            <w:vAlign w:val="top"/>
            <w:hideMark/>
          </w:tcPr>
          <w:p w14:paraId="049B2EE0" w14:textId="77777777" w:rsidR="00030303" w:rsidRPr="00DB2B77" w:rsidRDefault="00030303" w:rsidP="00030303">
            <w:pPr>
              <w:spacing w:before="60" w:after="60" w:line="240" w:lineRule="atLeast"/>
              <w:rPr>
                <w:rFonts w:asciiTheme="minorHAnsi" w:eastAsia="Times New Roman" w:hAnsiTheme="minorHAnsi" w:cstheme="minorHAnsi"/>
                <w:b/>
                <w:w w:val="100"/>
                <w:kern w:val="0"/>
                <w:sz w:val="19"/>
                <w:szCs w:val="19"/>
                <w:lang w:eastAsia="en-AU"/>
              </w:rPr>
            </w:pPr>
            <w:r w:rsidRPr="00DB2B77">
              <w:rPr>
                <w:rFonts w:asciiTheme="minorHAnsi" w:eastAsia="Times New Roman" w:hAnsiTheme="minorHAnsi" w:cstheme="minorHAnsi"/>
                <w:w w:val="100"/>
                <w:kern w:val="0"/>
                <w:sz w:val="19"/>
                <w:szCs w:val="19"/>
                <w:lang w:eastAsia="en-AU"/>
              </w:rPr>
              <w:t>N/A</w:t>
            </w:r>
          </w:p>
        </w:tc>
      </w:tr>
      <w:tr w:rsidR="00030303" w:rsidRPr="00DB2B77" w14:paraId="1B8C9519" w14:textId="77777777" w:rsidTr="00030303">
        <w:tc>
          <w:tcPr>
            <w:tcW w:w="467" w:type="pct"/>
            <w:tcBorders>
              <w:top w:val="single" w:sz="4" w:space="0" w:color="auto"/>
              <w:left w:val="single" w:sz="4" w:space="0" w:color="auto"/>
              <w:bottom w:val="single" w:sz="4" w:space="0" w:color="auto"/>
              <w:right w:val="nil"/>
            </w:tcBorders>
            <w:vAlign w:val="top"/>
            <w:hideMark/>
          </w:tcPr>
          <w:p w14:paraId="5AEF82B6" w14:textId="77777777" w:rsidR="00030303" w:rsidRPr="00DB2B77" w:rsidRDefault="00030303" w:rsidP="00030303">
            <w:pPr>
              <w:spacing w:before="60" w:after="60" w:line="240" w:lineRule="atLeast"/>
              <w:rPr>
                <w:rFonts w:asciiTheme="minorHAnsi" w:eastAsia="Times New Roman" w:hAnsiTheme="minorHAnsi" w:cstheme="minorHAnsi"/>
                <w:b/>
                <w:w w:val="100"/>
                <w:kern w:val="0"/>
                <w:sz w:val="19"/>
                <w:szCs w:val="19"/>
                <w:lang w:eastAsia="en-AU"/>
              </w:rPr>
            </w:pPr>
            <w:r w:rsidRPr="00DB2B77">
              <w:rPr>
                <w:rFonts w:asciiTheme="minorHAnsi" w:eastAsia="Times New Roman" w:hAnsiTheme="minorHAnsi" w:cstheme="minorHAnsi"/>
                <w:b/>
                <w:w w:val="100"/>
                <w:kern w:val="0"/>
                <w:sz w:val="19"/>
                <w:szCs w:val="19"/>
                <w:lang w:eastAsia="en-AU"/>
              </w:rPr>
              <w:t>Non-disclosure of private session material</w:t>
            </w:r>
          </w:p>
        </w:tc>
        <w:tc>
          <w:tcPr>
            <w:tcW w:w="503" w:type="pct"/>
            <w:tcBorders>
              <w:top w:val="single" w:sz="4" w:space="0" w:color="auto"/>
              <w:left w:val="nil"/>
              <w:bottom w:val="single" w:sz="4" w:space="0" w:color="auto"/>
              <w:right w:val="nil"/>
            </w:tcBorders>
            <w:shd w:val="clear" w:color="auto" w:fill="D9D9D9"/>
            <w:vAlign w:val="top"/>
            <w:hideMark/>
          </w:tcPr>
          <w:p w14:paraId="317655C3" w14:textId="77777777" w:rsidR="00030303" w:rsidRPr="00DB2B77" w:rsidRDefault="00030303" w:rsidP="00030303">
            <w:pPr>
              <w:spacing w:before="60" w:after="60" w:line="240" w:lineRule="atLeast"/>
              <w:rPr>
                <w:rFonts w:asciiTheme="minorHAnsi" w:eastAsia="Times New Roman" w:hAnsiTheme="minorHAnsi" w:cstheme="minorHAnsi"/>
                <w:w w:val="100"/>
                <w:kern w:val="0"/>
                <w:sz w:val="19"/>
                <w:szCs w:val="19"/>
                <w:lang w:eastAsia="en-AU"/>
              </w:rPr>
            </w:pPr>
            <w:r w:rsidRPr="00DB2B77">
              <w:rPr>
                <w:rFonts w:asciiTheme="minorHAnsi" w:eastAsia="Times New Roman" w:hAnsiTheme="minorHAnsi" w:cstheme="minorHAnsi"/>
                <w:w w:val="100"/>
                <w:kern w:val="0"/>
                <w:sz w:val="19"/>
                <w:szCs w:val="19"/>
                <w:lang w:eastAsia="en-AU"/>
              </w:rPr>
              <w:t>It is an offence for a person to record, use or disclose information:</w:t>
            </w:r>
          </w:p>
          <w:p w14:paraId="23C4E4EC" w14:textId="77777777" w:rsidR="00030303" w:rsidRPr="00DB2B77" w:rsidRDefault="00030303" w:rsidP="00030303">
            <w:pPr>
              <w:pStyle w:val="ListParagraph"/>
              <w:numPr>
                <w:ilvl w:val="0"/>
                <w:numId w:val="7"/>
              </w:numPr>
              <w:spacing w:before="60" w:after="60" w:line="240" w:lineRule="atLeast"/>
              <w:ind w:left="132" w:hanging="174"/>
              <w:rPr>
                <w:rFonts w:asciiTheme="minorHAnsi" w:eastAsia="Times New Roman" w:hAnsiTheme="minorHAnsi" w:cstheme="minorHAnsi"/>
                <w:w w:val="100"/>
                <w:kern w:val="0"/>
                <w:sz w:val="19"/>
                <w:szCs w:val="19"/>
                <w:lang w:eastAsia="en-AU"/>
              </w:rPr>
            </w:pPr>
            <w:r w:rsidRPr="00DB2B77">
              <w:rPr>
                <w:rFonts w:asciiTheme="minorHAnsi" w:eastAsia="Times New Roman" w:hAnsiTheme="minorHAnsi" w:cstheme="minorHAnsi"/>
                <w:w w:val="100"/>
                <w:kern w:val="0"/>
                <w:sz w:val="19"/>
                <w:szCs w:val="19"/>
                <w:lang w:eastAsia="en-AU"/>
              </w:rPr>
              <w:lastRenderedPageBreak/>
              <w:t>obtained at, or that was given at, a private session, or</w:t>
            </w:r>
          </w:p>
          <w:p w14:paraId="538EE55C" w14:textId="77777777" w:rsidR="00030303" w:rsidRPr="00DB2B77" w:rsidRDefault="00030303" w:rsidP="00030303">
            <w:pPr>
              <w:pStyle w:val="ListParagraph"/>
              <w:numPr>
                <w:ilvl w:val="0"/>
                <w:numId w:val="7"/>
              </w:numPr>
              <w:spacing w:before="60" w:after="60" w:line="240" w:lineRule="atLeast"/>
              <w:ind w:left="132" w:hanging="174"/>
              <w:rPr>
                <w:rFonts w:asciiTheme="minorHAnsi" w:eastAsia="Times New Roman" w:hAnsiTheme="minorHAnsi" w:cstheme="minorHAnsi"/>
                <w:w w:val="100"/>
                <w:kern w:val="0"/>
                <w:sz w:val="19"/>
                <w:szCs w:val="19"/>
                <w:lang w:eastAsia="en-AU"/>
              </w:rPr>
            </w:pPr>
            <w:r w:rsidRPr="00DB2B77">
              <w:rPr>
                <w:rFonts w:asciiTheme="minorHAnsi" w:eastAsia="Times New Roman" w:hAnsiTheme="minorHAnsi" w:cstheme="minorHAnsi"/>
                <w:w w:val="100"/>
                <w:kern w:val="0"/>
                <w:sz w:val="19"/>
                <w:szCs w:val="19"/>
                <w:lang w:eastAsia="en-AU"/>
              </w:rPr>
              <w:t>given by a natural person to a Commission staff member for the purposes of a private session (whether or not a private session was, or is to be, held) and identifies the person who gave the information (s 6OH; certain exceptions in (c)).</w:t>
            </w:r>
            <w:r w:rsidRPr="00DB2B77">
              <w:rPr>
                <w:w w:val="100"/>
                <w:sz w:val="19"/>
                <w:szCs w:val="19"/>
                <w:vertAlign w:val="superscript"/>
                <w:lang w:eastAsia="en-AU"/>
              </w:rPr>
              <w:footnoteReference w:id="31"/>
            </w:r>
          </w:p>
        </w:tc>
        <w:tc>
          <w:tcPr>
            <w:tcW w:w="504" w:type="pct"/>
            <w:tcBorders>
              <w:top w:val="single" w:sz="4" w:space="0" w:color="auto"/>
              <w:left w:val="nil"/>
              <w:bottom w:val="single" w:sz="4" w:space="0" w:color="auto"/>
              <w:right w:val="nil"/>
            </w:tcBorders>
            <w:vAlign w:val="top"/>
            <w:hideMark/>
          </w:tcPr>
          <w:p w14:paraId="2C01DA08" w14:textId="77777777" w:rsidR="00030303" w:rsidRPr="00DB2B77" w:rsidRDefault="00030303" w:rsidP="00030303">
            <w:pPr>
              <w:spacing w:before="60" w:after="60" w:line="240" w:lineRule="atLeast"/>
              <w:rPr>
                <w:rFonts w:asciiTheme="minorHAnsi" w:eastAsia="Times New Roman" w:hAnsiTheme="minorHAnsi" w:cstheme="minorHAnsi"/>
                <w:b/>
                <w:w w:val="100"/>
                <w:kern w:val="0"/>
                <w:sz w:val="19"/>
                <w:szCs w:val="19"/>
                <w:lang w:eastAsia="en-AU"/>
              </w:rPr>
            </w:pPr>
            <w:r w:rsidRPr="00DB2B77">
              <w:rPr>
                <w:rFonts w:asciiTheme="minorHAnsi" w:eastAsia="Times New Roman" w:hAnsiTheme="minorHAnsi" w:cstheme="minorHAnsi"/>
                <w:w w:val="100"/>
                <w:kern w:val="0"/>
                <w:sz w:val="19"/>
                <w:szCs w:val="19"/>
                <w:lang w:eastAsia="en-AU"/>
              </w:rPr>
              <w:lastRenderedPageBreak/>
              <w:t>N/A</w:t>
            </w:r>
          </w:p>
        </w:tc>
        <w:tc>
          <w:tcPr>
            <w:tcW w:w="504" w:type="pct"/>
            <w:tcBorders>
              <w:top w:val="single" w:sz="4" w:space="0" w:color="auto"/>
              <w:left w:val="nil"/>
              <w:bottom w:val="single" w:sz="4" w:space="0" w:color="auto"/>
              <w:right w:val="nil"/>
            </w:tcBorders>
            <w:vAlign w:val="top"/>
            <w:hideMark/>
          </w:tcPr>
          <w:p w14:paraId="5E16360D" w14:textId="77777777" w:rsidR="00030303" w:rsidRPr="00DB2B77" w:rsidRDefault="00030303" w:rsidP="00030303">
            <w:pPr>
              <w:spacing w:before="60" w:after="60" w:line="240" w:lineRule="atLeast"/>
              <w:rPr>
                <w:rFonts w:asciiTheme="minorHAnsi" w:eastAsia="Times New Roman" w:hAnsiTheme="minorHAnsi" w:cstheme="minorHAnsi"/>
                <w:b/>
                <w:w w:val="100"/>
                <w:kern w:val="0"/>
                <w:sz w:val="19"/>
                <w:szCs w:val="19"/>
                <w:lang w:eastAsia="en-AU"/>
              </w:rPr>
            </w:pPr>
            <w:r w:rsidRPr="00DB2B77">
              <w:rPr>
                <w:rFonts w:asciiTheme="minorHAnsi" w:eastAsia="Times New Roman" w:hAnsiTheme="minorHAnsi" w:cstheme="minorHAnsi"/>
                <w:w w:val="100"/>
                <w:kern w:val="0"/>
                <w:sz w:val="19"/>
                <w:szCs w:val="19"/>
                <w:lang w:eastAsia="en-AU"/>
              </w:rPr>
              <w:t>N/A</w:t>
            </w:r>
          </w:p>
        </w:tc>
        <w:tc>
          <w:tcPr>
            <w:tcW w:w="504" w:type="pct"/>
            <w:tcBorders>
              <w:top w:val="single" w:sz="4" w:space="0" w:color="auto"/>
              <w:left w:val="nil"/>
              <w:bottom w:val="single" w:sz="4" w:space="0" w:color="auto"/>
              <w:right w:val="nil"/>
            </w:tcBorders>
            <w:vAlign w:val="top"/>
            <w:hideMark/>
          </w:tcPr>
          <w:p w14:paraId="15248610" w14:textId="77777777" w:rsidR="00030303" w:rsidRPr="00DB2B77" w:rsidRDefault="00030303" w:rsidP="00030303">
            <w:pPr>
              <w:spacing w:before="60" w:after="60" w:line="240" w:lineRule="atLeast"/>
              <w:rPr>
                <w:rFonts w:asciiTheme="minorHAnsi" w:eastAsia="Times New Roman" w:hAnsiTheme="minorHAnsi" w:cstheme="minorHAnsi"/>
                <w:b/>
                <w:w w:val="100"/>
                <w:kern w:val="0"/>
                <w:sz w:val="19"/>
                <w:szCs w:val="19"/>
                <w:lang w:eastAsia="en-AU"/>
              </w:rPr>
            </w:pPr>
            <w:r w:rsidRPr="00DB2B77">
              <w:rPr>
                <w:rFonts w:asciiTheme="minorHAnsi" w:eastAsia="Times New Roman" w:hAnsiTheme="minorHAnsi" w:cstheme="minorHAnsi"/>
                <w:w w:val="100"/>
                <w:kern w:val="0"/>
                <w:sz w:val="19"/>
                <w:szCs w:val="19"/>
                <w:lang w:eastAsia="en-AU"/>
              </w:rPr>
              <w:t>N/A</w:t>
            </w:r>
          </w:p>
        </w:tc>
        <w:tc>
          <w:tcPr>
            <w:tcW w:w="504" w:type="pct"/>
            <w:tcBorders>
              <w:top w:val="single" w:sz="4" w:space="0" w:color="auto"/>
              <w:left w:val="nil"/>
              <w:bottom w:val="single" w:sz="4" w:space="0" w:color="auto"/>
              <w:right w:val="nil"/>
            </w:tcBorders>
            <w:vAlign w:val="top"/>
            <w:hideMark/>
          </w:tcPr>
          <w:p w14:paraId="3537D886" w14:textId="77777777" w:rsidR="00030303" w:rsidRPr="00DB2B77" w:rsidRDefault="00030303" w:rsidP="00030303">
            <w:pPr>
              <w:spacing w:before="60" w:after="60" w:line="240" w:lineRule="atLeast"/>
              <w:rPr>
                <w:rFonts w:asciiTheme="minorHAnsi" w:eastAsia="Times New Roman" w:hAnsiTheme="minorHAnsi" w:cstheme="minorHAnsi"/>
                <w:b/>
                <w:w w:val="100"/>
                <w:kern w:val="0"/>
                <w:sz w:val="19"/>
                <w:szCs w:val="19"/>
                <w:lang w:eastAsia="en-AU"/>
              </w:rPr>
            </w:pPr>
            <w:r w:rsidRPr="00DB2B77">
              <w:rPr>
                <w:rFonts w:asciiTheme="minorHAnsi" w:eastAsia="Times New Roman" w:hAnsiTheme="minorHAnsi" w:cstheme="minorHAnsi"/>
                <w:w w:val="100"/>
                <w:kern w:val="0"/>
                <w:sz w:val="19"/>
                <w:szCs w:val="19"/>
                <w:lang w:eastAsia="en-AU"/>
              </w:rPr>
              <w:t>N/A</w:t>
            </w:r>
          </w:p>
        </w:tc>
        <w:tc>
          <w:tcPr>
            <w:tcW w:w="504" w:type="pct"/>
            <w:tcBorders>
              <w:top w:val="single" w:sz="4" w:space="0" w:color="auto"/>
              <w:left w:val="nil"/>
              <w:bottom w:val="single" w:sz="4" w:space="0" w:color="auto"/>
              <w:right w:val="nil"/>
            </w:tcBorders>
            <w:vAlign w:val="top"/>
            <w:hideMark/>
          </w:tcPr>
          <w:p w14:paraId="3A7A55CF" w14:textId="77777777" w:rsidR="00030303" w:rsidRPr="00DB2B77" w:rsidRDefault="00030303" w:rsidP="00030303">
            <w:pPr>
              <w:spacing w:before="60" w:after="60" w:line="240" w:lineRule="atLeast"/>
              <w:rPr>
                <w:rFonts w:asciiTheme="minorHAnsi" w:eastAsia="Times New Roman" w:hAnsiTheme="minorHAnsi" w:cstheme="minorHAnsi"/>
                <w:b/>
                <w:w w:val="100"/>
                <w:kern w:val="0"/>
                <w:sz w:val="19"/>
                <w:szCs w:val="19"/>
                <w:lang w:eastAsia="en-AU"/>
              </w:rPr>
            </w:pPr>
            <w:r w:rsidRPr="00DB2B77">
              <w:rPr>
                <w:rFonts w:asciiTheme="minorHAnsi" w:eastAsia="Times New Roman" w:hAnsiTheme="minorHAnsi" w:cstheme="minorHAnsi"/>
                <w:w w:val="100"/>
                <w:kern w:val="0"/>
                <w:sz w:val="19"/>
                <w:szCs w:val="19"/>
                <w:lang w:eastAsia="en-AU"/>
              </w:rPr>
              <w:t>N/A</w:t>
            </w:r>
          </w:p>
        </w:tc>
        <w:tc>
          <w:tcPr>
            <w:tcW w:w="504" w:type="pct"/>
            <w:tcBorders>
              <w:top w:val="single" w:sz="4" w:space="0" w:color="auto"/>
              <w:left w:val="nil"/>
              <w:bottom w:val="single" w:sz="4" w:space="0" w:color="auto"/>
              <w:right w:val="nil"/>
            </w:tcBorders>
            <w:vAlign w:val="top"/>
            <w:hideMark/>
          </w:tcPr>
          <w:p w14:paraId="023ACAD5" w14:textId="77777777" w:rsidR="00030303" w:rsidRPr="00DB2B77" w:rsidRDefault="00030303" w:rsidP="00030303">
            <w:pPr>
              <w:spacing w:before="60" w:after="60" w:line="240" w:lineRule="atLeast"/>
              <w:rPr>
                <w:rFonts w:asciiTheme="minorHAnsi" w:eastAsia="Times New Roman" w:hAnsiTheme="minorHAnsi" w:cstheme="minorHAnsi"/>
                <w:w w:val="100"/>
                <w:kern w:val="0"/>
                <w:sz w:val="19"/>
                <w:szCs w:val="19"/>
                <w:lang w:eastAsia="en-AU"/>
              </w:rPr>
            </w:pPr>
            <w:r w:rsidRPr="00DB2B77">
              <w:rPr>
                <w:rFonts w:asciiTheme="minorHAnsi" w:eastAsia="Times New Roman" w:hAnsiTheme="minorHAnsi" w:cstheme="minorHAnsi"/>
                <w:w w:val="100"/>
                <w:kern w:val="0"/>
                <w:sz w:val="19"/>
                <w:szCs w:val="19"/>
                <w:lang w:eastAsia="en-AU"/>
              </w:rPr>
              <w:t xml:space="preserve">It is an offence for a person to record, use or disclose information: </w:t>
            </w:r>
          </w:p>
          <w:p w14:paraId="2483FEAF" w14:textId="77777777" w:rsidR="00030303" w:rsidRPr="00DB2B77" w:rsidRDefault="00030303" w:rsidP="00030303">
            <w:pPr>
              <w:pStyle w:val="ListParagraph"/>
              <w:numPr>
                <w:ilvl w:val="0"/>
                <w:numId w:val="7"/>
              </w:numPr>
              <w:spacing w:before="60" w:after="60" w:line="240" w:lineRule="atLeast"/>
              <w:ind w:left="92" w:hanging="134"/>
              <w:rPr>
                <w:rFonts w:asciiTheme="minorHAnsi" w:eastAsia="Times New Roman" w:hAnsiTheme="minorHAnsi" w:cstheme="minorHAnsi"/>
                <w:w w:val="100"/>
                <w:kern w:val="0"/>
                <w:sz w:val="19"/>
                <w:szCs w:val="19"/>
                <w:lang w:eastAsia="en-AU"/>
              </w:rPr>
            </w:pPr>
            <w:r w:rsidRPr="00DB2B77">
              <w:rPr>
                <w:rFonts w:asciiTheme="minorHAnsi" w:eastAsia="Times New Roman" w:hAnsiTheme="minorHAnsi" w:cstheme="minorHAnsi"/>
                <w:w w:val="100"/>
                <w:kern w:val="0"/>
                <w:sz w:val="19"/>
                <w:szCs w:val="19"/>
                <w:lang w:eastAsia="en-AU"/>
              </w:rPr>
              <w:lastRenderedPageBreak/>
              <w:t xml:space="preserve">obtained at, or that was given at and obtained before or after, a private session, or </w:t>
            </w:r>
          </w:p>
          <w:p w14:paraId="76CE46FB" w14:textId="77777777" w:rsidR="00030303" w:rsidRPr="00DB2B77" w:rsidRDefault="00030303" w:rsidP="00030303">
            <w:pPr>
              <w:pStyle w:val="ListParagraph"/>
              <w:numPr>
                <w:ilvl w:val="0"/>
                <w:numId w:val="10"/>
              </w:numPr>
              <w:spacing w:before="60" w:after="60" w:line="240" w:lineRule="atLeast"/>
              <w:ind w:left="92" w:hanging="92"/>
              <w:rPr>
                <w:rFonts w:asciiTheme="minorHAnsi" w:eastAsia="Times New Roman" w:hAnsiTheme="minorHAnsi" w:cstheme="minorHAnsi"/>
                <w:b/>
                <w:w w:val="100"/>
                <w:kern w:val="0"/>
                <w:sz w:val="19"/>
                <w:szCs w:val="19"/>
                <w:lang w:eastAsia="en-AU"/>
              </w:rPr>
            </w:pPr>
            <w:r w:rsidRPr="00DB2B77">
              <w:rPr>
                <w:rFonts w:asciiTheme="minorHAnsi" w:eastAsia="Times New Roman" w:hAnsiTheme="minorHAnsi" w:cstheme="minorHAnsi"/>
                <w:w w:val="100"/>
                <w:kern w:val="0"/>
                <w:sz w:val="19"/>
                <w:szCs w:val="19"/>
                <w:lang w:eastAsia="en-AU"/>
              </w:rPr>
              <w:t xml:space="preserve"> given to the Commission for the purposes of a private session or proposed private session (s 19</w:t>
            </w:r>
            <w:proofErr w:type="gramStart"/>
            <w:r w:rsidRPr="00DB2B77">
              <w:rPr>
                <w:rFonts w:asciiTheme="minorHAnsi" w:eastAsia="Times New Roman" w:hAnsiTheme="minorHAnsi" w:cstheme="minorHAnsi"/>
                <w:w w:val="100"/>
                <w:kern w:val="0"/>
                <w:sz w:val="19"/>
                <w:szCs w:val="19"/>
                <w:lang w:eastAsia="en-AU"/>
              </w:rPr>
              <w:t>C(</w:t>
            </w:r>
            <w:proofErr w:type="gramEnd"/>
            <w:r w:rsidRPr="00DB2B77">
              <w:rPr>
                <w:rFonts w:asciiTheme="minorHAnsi" w:eastAsia="Times New Roman" w:hAnsiTheme="minorHAnsi" w:cstheme="minorHAnsi"/>
                <w:w w:val="100"/>
                <w:kern w:val="0"/>
                <w:sz w:val="19"/>
                <w:szCs w:val="19"/>
                <w:lang w:eastAsia="en-AU"/>
              </w:rPr>
              <w:t xml:space="preserve">1); certain exceptions in (2) including if the information does not allow identification of a person who has not consented to its disclosure). </w:t>
            </w:r>
            <w:bookmarkStart w:id="11" w:name="GS19C@Gs4@EN"/>
            <w:bookmarkStart w:id="12" w:name="GS19C@Gs3@EN"/>
            <w:bookmarkStart w:id="13" w:name="GS19C@Gs2@EN"/>
            <w:bookmarkEnd w:id="11"/>
            <w:bookmarkEnd w:id="12"/>
            <w:bookmarkEnd w:id="13"/>
          </w:p>
        </w:tc>
        <w:tc>
          <w:tcPr>
            <w:tcW w:w="503" w:type="pct"/>
            <w:tcBorders>
              <w:top w:val="single" w:sz="4" w:space="0" w:color="auto"/>
              <w:left w:val="nil"/>
              <w:bottom w:val="single" w:sz="4" w:space="0" w:color="auto"/>
              <w:right w:val="nil"/>
            </w:tcBorders>
            <w:vAlign w:val="top"/>
            <w:hideMark/>
          </w:tcPr>
          <w:p w14:paraId="6285FFFF" w14:textId="77777777" w:rsidR="00030303" w:rsidRPr="00DB2B77" w:rsidRDefault="00030303" w:rsidP="00030303">
            <w:pPr>
              <w:spacing w:before="60" w:after="60" w:line="240" w:lineRule="atLeast"/>
              <w:rPr>
                <w:rFonts w:asciiTheme="minorHAnsi" w:eastAsia="Times New Roman" w:hAnsiTheme="minorHAnsi" w:cstheme="minorHAnsi"/>
                <w:b/>
                <w:w w:val="100"/>
                <w:kern w:val="0"/>
                <w:sz w:val="19"/>
                <w:szCs w:val="19"/>
                <w:lang w:eastAsia="en-AU"/>
              </w:rPr>
            </w:pPr>
            <w:r w:rsidRPr="00DB2B77">
              <w:rPr>
                <w:rFonts w:asciiTheme="minorHAnsi" w:eastAsia="Times New Roman" w:hAnsiTheme="minorHAnsi" w:cstheme="minorHAnsi"/>
                <w:w w:val="100"/>
                <w:kern w:val="0"/>
                <w:sz w:val="19"/>
                <w:szCs w:val="19"/>
                <w:lang w:eastAsia="en-AU"/>
              </w:rPr>
              <w:lastRenderedPageBreak/>
              <w:t>N/A</w:t>
            </w:r>
          </w:p>
        </w:tc>
        <w:tc>
          <w:tcPr>
            <w:tcW w:w="503" w:type="pct"/>
            <w:tcBorders>
              <w:top w:val="single" w:sz="4" w:space="0" w:color="auto"/>
              <w:left w:val="nil"/>
              <w:bottom w:val="single" w:sz="4" w:space="0" w:color="auto"/>
              <w:right w:val="single" w:sz="4" w:space="0" w:color="auto"/>
            </w:tcBorders>
            <w:vAlign w:val="top"/>
            <w:hideMark/>
          </w:tcPr>
          <w:p w14:paraId="49BABA5E" w14:textId="77777777" w:rsidR="00030303" w:rsidRPr="00DB2B77" w:rsidRDefault="00030303" w:rsidP="00030303">
            <w:pPr>
              <w:spacing w:before="60" w:after="60" w:line="240" w:lineRule="atLeast"/>
              <w:rPr>
                <w:rFonts w:asciiTheme="minorHAnsi" w:eastAsia="Times New Roman" w:hAnsiTheme="minorHAnsi" w:cstheme="minorHAnsi"/>
                <w:b/>
                <w:w w:val="100"/>
                <w:kern w:val="0"/>
                <w:sz w:val="19"/>
                <w:szCs w:val="19"/>
                <w:lang w:eastAsia="en-AU"/>
              </w:rPr>
            </w:pPr>
            <w:r w:rsidRPr="00DB2B77">
              <w:rPr>
                <w:rFonts w:asciiTheme="minorHAnsi" w:eastAsia="Times New Roman" w:hAnsiTheme="minorHAnsi" w:cstheme="minorHAnsi"/>
                <w:w w:val="100"/>
                <w:kern w:val="0"/>
                <w:sz w:val="19"/>
                <w:szCs w:val="19"/>
                <w:lang w:eastAsia="en-AU"/>
              </w:rPr>
              <w:t>N/A</w:t>
            </w:r>
          </w:p>
        </w:tc>
      </w:tr>
    </w:tbl>
    <w:p w14:paraId="7B40979A" w14:textId="77777777" w:rsidR="00030303" w:rsidRPr="000E6D92" w:rsidRDefault="00030303" w:rsidP="00030303">
      <w:pPr>
        <w:spacing w:after="0" w:line="240" w:lineRule="auto"/>
        <w:rPr>
          <w:rFonts w:asciiTheme="minorHAnsi" w:eastAsia="Times New Roman" w:hAnsiTheme="minorHAnsi" w:cstheme="minorHAnsi"/>
          <w:w w:val="100"/>
          <w:kern w:val="0"/>
          <w:lang w:eastAsia="en-AU"/>
        </w:rPr>
      </w:pPr>
      <w:r>
        <w:rPr>
          <w:rFonts w:asciiTheme="minorHAnsi" w:eastAsia="Times New Roman" w:hAnsiTheme="minorHAnsi" w:cstheme="minorHAnsi"/>
          <w:w w:val="100"/>
          <w:kern w:val="0"/>
          <w:lang w:eastAsia="en-AU"/>
        </w:rPr>
        <w:br w:type="page"/>
      </w:r>
    </w:p>
    <w:p w14:paraId="7804DFA2" w14:textId="77777777" w:rsidR="00030303" w:rsidRPr="005C473C" w:rsidRDefault="00030303" w:rsidP="005C473C">
      <w:pPr>
        <w:rPr>
          <w:b/>
        </w:rPr>
      </w:pPr>
      <w:r w:rsidRPr="005C473C">
        <w:rPr>
          <w:b/>
        </w:rPr>
        <w:lastRenderedPageBreak/>
        <w:t xml:space="preserve">Protection of witnesses </w:t>
      </w:r>
    </w:p>
    <w:p w14:paraId="6E04513F" w14:textId="77777777" w:rsidR="00030303" w:rsidRDefault="00030303" w:rsidP="00030303">
      <w:r>
        <w:t>The below table (referenced in section 2.2 of the report) compares provisions for protections of witnesses and other people engaging with a royal commission in the Commonwealth Royal Commissions Act with equivalent provisions contained in state and territory equivalent legislation.</w:t>
      </w:r>
    </w:p>
    <w:p w14:paraId="36ADC06B" w14:textId="77777777" w:rsidR="00030303" w:rsidRPr="000E6D92" w:rsidRDefault="00030303" w:rsidP="00030303">
      <w:r>
        <w:t xml:space="preserve">As indicated in the report, </w:t>
      </w:r>
      <w:r w:rsidRPr="00666E63">
        <w:rPr>
          <w:rFonts w:asciiTheme="minorHAnsi" w:eastAsia="Times New Roman" w:hAnsiTheme="minorHAnsi" w:cstheme="minorHAnsi"/>
          <w:w w:val="100"/>
          <w:kern w:val="0"/>
          <w:lang w:eastAsia="en-AU"/>
        </w:rPr>
        <w:t xml:space="preserve">the provisions included in the Commonwealth Act </w:t>
      </w:r>
      <w:r>
        <w:rPr>
          <w:rFonts w:asciiTheme="minorHAnsi" w:eastAsia="Times New Roman" w:hAnsiTheme="minorHAnsi" w:cstheme="minorHAnsi"/>
          <w:w w:val="100"/>
          <w:kern w:val="0"/>
          <w:lang w:eastAsia="en-AU"/>
        </w:rPr>
        <w:t xml:space="preserve">for protecting identities and information </w:t>
      </w:r>
      <w:r w:rsidRPr="00666E63">
        <w:rPr>
          <w:rFonts w:asciiTheme="minorHAnsi" w:eastAsia="Times New Roman" w:hAnsiTheme="minorHAnsi" w:cstheme="minorHAnsi"/>
          <w:w w:val="100"/>
          <w:kern w:val="0"/>
          <w:lang w:eastAsia="en-AU"/>
        </w:rPr>
        <w:t>are as broad as those included in the equivalent State and Territory legislation.</w:t>
      </w:r>
    </w:p>
    <w:p w14:paraId="42BB9D51" w14:textId="77777777" w:rsidR="00030303" w:rsidRDefault="00030303" w:rsidP="00030303">
      <w:pPr>
        <w:spacing w:after="0" w:line="240" w:lineRule="auto"/>
        <w:rPr>
          <w:rFonts w:asciiTheme="minorHAnsi" w:eastAsia="Times New Roman" w:hAnsiTheme="minorHAnsi" w:cstheme="minorHAnsi"/>
          <w:b/>
          <w:w w:val="100"/>
          <w:kern w:val="0"/>
          <w:lang w:eastAsia="en-AU"/>
        </w:rPr>
      </w:pPr>
    </w:p>
    <w:tbl>
      <w:tblPr>
        <w:tblStyle w:val="TableGrid2"/>
        <w:tblW w:w="4900" w:type="pct"/>
        <w:tblInd w:w="0"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603"/>
        <w:gridCol w:w="1497"/>
        <w:gridCol w:w="1349"/>
        <w:gridCol w:w="1349"/>
        <w:gridCol w:w="1318"/>
        <w:gridCol w:w="1416"/>
        <w:gridCol w:w="1318"/>
        <w:gridCol w:w="1240"/>
        <w:gridCol w:w="1182"/>
        <w:gridCol w:w="1463"/>
      </w:tblGrid>
      <w:tr w:rsidR="00030303" w:rsidRPr="00DB2B77" w14:paraId="23379DE0" w14:textId="77777777" w:rsidTr="00030303">
        <w:trPr>
          <w:tblHeader/>
        </w:trPr>
        <w:tc>
          <w:tcPr>
            <w:tcW w:w="467" w:type="pct"/>
            <w:tcBorders>
              <w:top w:val="single" w:sz="4" w:space="0" w:color="auto"/>
              <w:left w:val="single" w:sz="4" w:space="0" w:color="auto"/>
              <w:bottom w:val="single" w:sz="4" w:space="0" w:color="auto"/>
              <w:right w:val="nil"/>
            </w:tcBorders>
            <w:shd w:val="clear" w:color="auto" w:fill="D9D9D9"/>
            <w:vAlign w:val="top"/>
            <w:hideMark/>
          </w:tcPr>
          <w:p w14:paraId="328EFB1A" w14:textId="77777777" w:rsidR="00030303" w:rsidRPr="00DB2B77" w:rsidRDefault="00030303" w:rsidP="00030303">
            <w:pPr>
              <w:keepNext/>
              <w:keepLines/>
              <w:spacing w:before="60" w:after="0" w:line="240" w:lineRule="atLeast"/>
              <w:rPr>
                <w:rFonts w:asciiTheme="minorHAnsi" w:eastAsia="Times New Roman" w:hAnsiTheme="minorHAnsi" w:cstheme="minorHAnsi"/>
                <w:b/>
                <w:w w:val="100"/>
                <w:kern w:val="0"/>
                <w:sz w:val="19"/>
                <w:szCs w:val="19"/>
                <w:lang w:eastAsia="en-AU"/>
              </w:rPr>
            </w:pPr>
            <w:r w:rsidRPr="00DB2B77">
              <w:rPr>
                <w:rFonts w:asciiTheme="minorHAnsi" w:eastAsia="Times New Roman" w:hAnsiTheme="minorHAnsi" w:cstheme="minorHAnsi"/>
                <w:b/>
                <w:w w:val="100"/>
                <w:kern w:val="0"/>
                <w:sz w:val="19"/>
                <w:szCs w:val="19"/>
                <w:lang w:eastAsia="en-AU"/>
              </w:rPr>
              <w:t>Topic</w:t>
            </w:r>
          </w:p>
        </w:tc>
        <w:tc>
          <w:tcPr>
            <w:tcW w:w="503" w:type="pct"/>
            <w:tcBorders>
              <w:top w:val="single" w:sz="4" w:space="0" w:color="auto"/>
              <w:left w:val="nil"/>
              <w:bottom w:val="single" w:sz="4" w:space="0" w:color="auto"/>
              <w:right w:val="nil"/>
            </w:tcBorders>
            <w:shd w:val="clear" w:color="auto" w:fill="D9D9D9"/>
            <w:vAlign w:val="top"/>
            <w:hideMark/>
          </w:tcPr>
          <w:p w14:paraId="3243E3A5" w14:textId="77777777" w:rsidR="00030303" w:rsidRPr="00DB2B77" w:rsidRDefault="00030303" w:rsidP="00030303">
            <w:pPr>
              <w:keepNext/>
              <w:keepLines/>
              <w:spacing w:before="60" w:after="0" w:line="240" w:lineRule="atLeast"/>
              <w:rPr>
                <w:rFonts w:asciiTheme="minorHAnsi" w:eastAsia="Times New Roman" w:hAnsiTheme="minorHAnsi" w:cstheme="minorHAnsi"/>
                <w:b/>
                <w:w w:val="100"/>
                <w:kern w:val="0"/>
                <w:sz w:val="19"/>
                <w:szCs w:val="19"/>
                <w:lang w:eastAsia="en-AU"/>
              </w:rPr>
            </w:pPr>
            <w:r w:rsidRPr="00DB2B77">
              <w:rPr>
                <w:rFonts w:asciiTheme="minorHAnsi" w:eastAsia="Times New Roman" w:hAnsiTheme="minorHAnsi" w:cstheme="minorHAnsi"/>
                <w:b/>
                <w:i/>
                <w:w w:val="100"/>
                <w:kern w:val="0"/>
                <w:sz w:val="19"/>
                <w:szCs w:val="19"/>
                <w:lang w:eastAsia="en-AU"/>
              </w:rPr>
              <w:t>Royal Commissions Act 1902</w:t>
            </w:r>
            <w:r w:rsidRPr="00DB2B77">
              <w:rPr>
                <w:rFonts w:asciiTheme="minorHAnsi" w:eastAsia="Times New Roman" w:hAnsiTheme="minorHAnsi" w:cstheme="minorHAnsi"/>
                <w:b/>
                <w:w w:val="100"/>
                <w:kern w:val="0"/>
                <w:sz w:val="19"/>
                <w:szCs w:val="19"/>
                <w:lang w:eastAsia="en-AU"/>
              </w:rPr>
              <w:t xml:space="preserve"> (</w:t>
            </w:r>
            <w:proofErr w:type="spellStart"/>
            <w:r w:rsidRPr="00DB2B77">
              <w:rPr>
                <w:rFonts w:asciiTheme="minorHAnsi" w:eastAsia="Times New Roman" w:hAnsiTheme="minorHAnsi" w:cstheme="minorHAnsi"/>
                <w:b/>
                <w:w w:val="100"/>
                <w:kern w:val="0"/>
                <w:sz w:val="19"/>
                <w:szCs w:val="19"/>
                <w:lang w:eastAsia="en-AU"/>
              </w:rPr>
              <w:t>Cth</w:t>
            </w:r>
            <w:proofErr w:type="spellEnd"/>
            <w:r w:rsidRPr="00DB2B77">
              <w:rPr>
                <w:rFonts w:asciiTheme="minorHAnsi" w:eastAsia="Times New Roman" w:hAnsiTheme="minorHAnsi" w:cstheme="minorHAnsi"/>
                <w:b/>
                <w:w w:val="100"/>
                <w:kern w:val="0"/>
                <w:sz w:val="19"/>
                <w:szCs w:val="19"/>
                <w:lang w:eastAsia="en-AU"/>
              </w:rPr>
              <w:t>)</w:t>
            </w:r>
          </w:p>
        </w:tc>
        <w:tc>
          <w:tcPr>
            <w:tcW w:w="504" w:type="pct"/>
            <w:tcBorders>
              <w:top w:val="single" w:sz="4" w:space="0" w:color="auto"/>
              <w:left w:val="nil"/>
              <w:bottom w:val="single" w:sz="4" w:space="0" w:color="auto"/>
              <w:right w:val="nil"/>
            </w:tcBorders>
            <w:shd w:val="clear" w:color="auto" w:fill="D9D9D9"/>
            <w:vAlign w:val="top"/>
            <w:hideMark/>
          </w:tcPr>
          <w:p w14:paraId="71810A8E" w14:textId="77777777" w:rsidR="00030303" w:rsidRPr="00DB2B77" w:rsidRDefault="00030303" w:rsidP="00030303">
            <w:pPr>
              <w:keepNext/>
              <w:keepLines/>
              <w:spacing w:before="60" w:after="0" w:line="240" w:lineRule="atLeast"/>
              <w:rPr>
                <w:rFonts w:asciiTheme="minorHAnsi" w:eastAsia="Times New Roman" w:hAnsiTheme="minorHAnsi" w:cstheme="minorHAnsi"/>
                <w:b/>
                <w:i/>
                <w:w w:val="100"/>
                <w:kern w:val="0"/>
                <w:sz w:val="19"/>
                <w:szCs w:val="19"/>
                <w:lang w:eastAsia="en-AU"/>
              </w:rPr>
            </w:pPr>
            <w:r w:rsidRPr="00DB2B77">
              <w:rPr>
                <w:rFonts w:asciiTheme="minorHAnsi" w:eastAsia="Times New Roman" w:hAnsiTheme="minorHAnsi" w:cstheme="minorHAnsi"/>
                <w:b/>
                <w:i/>
                <w:w w:val="100"/>
                <w:kern w:val="0"/>
                <w:sz w:val="19"/>
                <w:szCs w:val="19"/>
                <w:lang w:eastAsia="en-AU"/>
              </w:rPr>
              <w:t xml:space="preserve">Royal Commissions Act 1991 </w:t>
            </w:r>
            <w:r w:rsidRPr="00DB2B77">
              <w:rPr>
                <w:rFonts w:asciiTheme="minorHAnsi" w:eastAsia="Times New Roman" w:hAnsiTheme="minorHAnsi" w:cstheme="minorHAnsi"/>
                <w:b/>
                <w:w w:val="100"/>
                <w:kern w:val="0"/>
                <w:sz w:val="19"/>
                <w:szCs w:val="19"/>
                <w:lang w:eastAsia="en-AU"/>
              </w:rPr>
              <w:t xml:space="preserve">(ACT) </w:t>
            </w:r>
          </w:p>
        </w:tc>
        <w:tc>
          <w:tcPr>
            <w:tcW w:w="504" w:type="pct"/>
            <w:tcBorders>
              <w:top w:val="single" w:sz="4" w:space="0" w:color="auto"/>
              <w:left w:val="nil"/>
              <w:bottom w:val="single" w:sz="4" w:space="0" w:color="auto"/>
              <w:right w:val="nil"/>
            </w:tcBorders>
            <w:shd w:val="clear" w:color="auto" w:fill="D9D9D9"/>
            <w:vAlign w:val="top"/>
            <w:hideMark/>
          </w:tcPr>
          <w:p w14:paraId="7E7ECCB6" w14:textId="77777777" w:rsidR="00030303" w:rsidRPr="00DB2B77" w:rsidRDefault="00030303" w:rsidP="00030303">
            <w:pPr>
              <w:keepNext/>
              <w:keepLines/>
              <w:spacing w:before="60" w:after="0" w:line="240" w:lineRule="atLeast"/>
              <w:rPr>
                <w:rFonts w:asciiTheme="minorHAnsi" w:eastAsia="Times New Roman" w:hAnsiTheme="minorHAnsi" w:cstheme="minorHAnsi"/>
                <w:b/>
                <w:w w:val="100"/>
                <w:kern w:val="0"/>
                <w:sz w:val="19"/>
                <w:szCs w:val="19"/>
                <w:lang w:eastAsia="en-AU"/>
              </w:rPr>
            </w:pPr>
            <w:r w:rsidRPr="00DB2B77">
              <w:rPr>
                <w:rFonts w:asciiTheme="minorHAnsi" w:eastAsia="Times New Roman" w:hAnsiTheme="minorHAnsi" w:cstheme="minorHAnsi"/>
                <w:b/>
                <w:i/>
                <w:w w:val="100"/>
                <w:kern w:val="0"/>
                <w:sz w:val="19"/>
                <w:szCs w:val="19"/>
                <w:lang w:eastAsia="en-AU"/>
              </w:rPr>
              <w:t>Royal Commissions Act 1923</w:t>
            </w:r>
            <w:r w:rsidRPr="00DB2B77">
              <w:rPr>
                <w:rFonts w:asciiTheme="minorHAnsi" w:eastAsia="Times New Roman" w:hAnsiTheme="minorHAnsi" w:cstheme="minorHAnsi"/>
                <w:b/>
                <w:w w:val="100"/>
                <w:kern w:val="0"/>
                <w:sz w:val="19"/>
                <w:szCs w:val="19"/>
                <w:lang w:eastAsia="en-AU"/>
              </w:rPr>
              <w:t xml:space="preserve"> (NSW)</w:t>
            </w:r>
          </w:p>
        </w:tc>
        <w:tc>
          <w:tcPr>
            <w:tcW w:w="504" w:type="pct"/>
            <w:tcBorders>
              <w:top w:val="single" w:sz="4" w:space="0" w:color="auto"/>
              <w:left w:val="nil"/>
              <w:bottom w:val="single" w:sz="4" w:space="0" w:color="auto"/>
              <w:right w:val="nil"/>
            </w:tcBorders>
            <w:shd w:val="clear" w:color="auto" w:fill="D9D9D9"/>
            <w:vAlign w:val="top"/>
            <w:hideMark/>
          </w:tcPr>
          <w:p w14:paraId="61806E4E" w14:textId="77777777" w:rsidR="00030303" w:rsidRPr="00DB2B77" w:rsidRDefault="00030303" w:rsidP="00030303">
            <w:pPr>
              <w:keepNext/>
              <w:keepLines/>
              <w:spacing w:before="60" w:after="0" w:line="240" w:lineRule="atLeast"/>
              <w:rPr>
                <w:rFonts w:asciiTheme="minorHAnsi" w:eastAsia="Times New Roman" w:hAnsiTheme="minorHAnsi" w:cstheme="minorHAnsi"/>
                <w:b/>
                <w:i/>
                <w:w w:val="100"/>
                <w:kern w:val="0"/>
                <w:sz w:val="19"/>
                <w:szCs w:val="19"/>
                <w:highlight w:val="yellow"/>
                <w:lang w:eastAsia="en-AU"/>
              </w:rPr>
            </w:pPr>
            <w:r w:rsidRPr="00DB2B77">
              <w:rPr>
                <w:rFonts w:asciiTheme="minorHAnsi" w:eastAsia="Times New Roman" w:hAnsiTheme="minorHAnsi" w:cstheme="minorHAnsi"/>
                <w:b/>
                <w:i/>
                <w:w w:val="100"/>
                <w:kern w:val="0"/>
                <w:sz w:val="19"/>
                <w:szCs w:val="19"/>
                <w:lang w:eastAsia="en-AU"/>
              </w:rPr>
              <w:t>Inquiries Act 1945</w:t>
            </w:r>
            <w:r w:rsidRPr="00DB2B77">
              <w:rPr>
                <w:rFonts w:asciiTheme="minorHAnsi" w:eastAsia="Times New Roman" w:hAnsiTheme="minorHAnsi" w:cstheme="minorHAnsi"/>
                <w:b/>
                <w:w w:val="100"/>
                <w:kern w:val="0"/>
                <w:sz w:val="19"/>
                <w:szCs w:val="19"/>
                <w:lang w:eastAsia="en-AU"/>
              </w:rPr>
              <w:t xml:space="preserve"> (NT)</w:t>
            </w:r>
          </w:p>
        </w:tc>
        <w:tc>
          <w:tcPr>
            <w:tcW w:w="509" w:type="pct"/>
            <w:tcBorders>
              <w:top w:val="single" w:sz="4" w:space="0" w:color="auto"/>
              <w:left w:val="nil"/>
              <w:bottom w:val="single" w:sz="4" w:space="0" w:color="auto"/>
              <w:right w:val="nil"/>
            </w:tcBorders>
            <w:shd w:val="clear" w:color="auto" w:fill="D9D9D9"/>
            <w:vAlign w:val="top"/>
            <w:hideMark/>
          </w:tcPr>
          <w:p w14:paraId="1714A0D9" w14:textId="77777777" w:rsidR="00030303" w:rsidRPr="00DB2B77" w:rsidRDefault="00030303" w:rsidP="00030303">
            <w:pPr>
              <w:keepNext/>
              <w:keepLines/>
              <w:spacing w:before="60" w:after="0" w:line="240" w:lineRule="atLeast"/>
              <w:rPr>
                <w:rFonts w:asciiTheme="minorHAnsi" w:eastAsia="Times New Roman" w:hAnsiTheme="minorHAnsi" w:cstheme="minorHAnsi"/>
                <w:b/>
                <w:w w:val="100"/>
                <w:kern w:val="0"/>
                <w:sz w:val="19"/>
                <w:szCs w:val="19"/>
                <w:lang w:eastAsia="en-AU"/>
              </w:rPr>
            </w:pPr>
            <w:r w:rsidRPr="00DB2B77">
              <w:rPr>
                <w:rFonts w:asciiTheme="minorHAnsi" w:eastAsia="Times New Roman" w:hAnsiTheme="minorHAnsi" w:cstheme="minorHAnsi"/>
                <w:b/>
                <w:i/>
                <w:w w:val="100"/>
                <w:kern w:val="0"/>
                <w:sz w:val="19"/>
                <w:szCs w:val="19"/>
                <w:lang w:eastAsia="en-AU"/>
              </w:rPr>
              <w:t>Commissions of Inquiry Act 1950</w:t>
            </w:r>
            <w:r w:rsidRPr="00DB2B77">
              <w:rPr>
                <w:rFonts w:asciiTheme="minorHAnsi" w:eastAsia="Times New Roman" w:hAnsiTheme="minorHAnsi" w:cstheme="minorHAnsi"/>
                <w:b/>
                <w:w w:val="100"/>
                <w:kern w:val="0"/>
                <w:sz w:val="19"/>
                <w:szCs w:val="19"/>
                <w:lang w:eastAsia="en-AU"/>
              </w:rPr>
              <w:t xml:space="preserve"> (Qld)</w:t>
            </w:r>
          </w:p>
        </w:tc>
        <w:tc>
          <w:tcPr>
            <w:tcW w:w="514" w:type="pct"/>
            <w:tcBorders>
              <w:top w:val="single" w:sz="4" w:space="0" w:color="auto"/>
              <w:left w:val="nil"/>
              <w:bottom w:val="single" w:sz="4" w:space="0" w:color="auto"/>
              <w:right w:val="nil"/>
            </w:tcBorders>
            <w:shd w:val="clear" w:color="auto" w:fill="D9D9D9"/>
            <w:vAlign w:val="top"/>
            <w:hideMark/>
          </w:tcPr>
          <w:p w14:paraId="0D6B57A3" w14:textId="77777777" w:rsidR="00030303" w:rsidRPr="00DB2B77" w:rsidRDefault="00030303" w:rsidP="00030303">
            <w:pPr>
              <w:keepNext/>
              <w:keepLines/>
              <w:spacing w:before="60" w:after="0" w:line="240" w:lineRule="atLeast"/>
              <w:rPr>
                <w:rFonts w:asciiTheme="minorHAnsi" w:eastAsia="Times New Roman" w:hAnsiTheme="minorHAnsi" w:cstheme="minorHAnsi"/>
                <w:b/>
                <w:w w:val="100"/>
                <w:kern w:val="0"/>
                <w:sz w:val="19"/>
                <w:szCs w:val="19"/>
                <w:lang w:eastAsia="en-AU"/>
              </w:rPr>
            </w:pPr>
            <w:r w:rsidRPr="00DB2B77">
              <w:rPr>
                <w:rFonts w:asciiTheme="minorHAnsi" w:eastAsia="Times New Roman" w:hAnsiTheme="minorHAnsi" w:cstheme="minorHAnsi"/>
                <w:b/>
                <w:i/>
                <w:w w:val="100"/>
                <w:kern w:val="0"/>
                <w:sz w:val="19"/>
                <w:szCs w:val="19"/>
                <w:lang w:eastAsia="en-AU"/>
              </w:rPr>
              <w:t>Royal Commissions Act 1917</w:t>
            </w:r>
            <w:r w:rsidRPr="00DB2B77">
              <w:rPr>
                <w:rFonts w:asciiTheme="minorHAnsi" w:eastAsia="Times New Roman" w:hAnsiTheme="minorHAnsi" w:cstheme="minorHAnsi"/>
                <w:b/>
                <w:w w:val="100"/>
                <w:kern w:val="0"/>
                <w:sz w:val="19"/>
                <w:szCs w:val="19"/>
                <w:lang w:eastAsia="en-AU"/>
              </w:rPr>
              <w:t xml:space="preserve"> (SA)</w:t>
            </w:r>
          </w:p>
        </w:tc>
        <w:tc>
          <w:tcPr>
            <w:tcW w:w="504" w:type="pct"/>
            <w:tcBorders>
              <w:top w:val="single" w:sz="4" w:space="0" w:color="auto"/>
              <w:left w:val="nil"/>
              <w:bottom w:val="single" w:sz="4" w:space="0" w:color="auto"/>
              <w:right w:val="nil"/>
            </w:tcBorders>
            <w:shd w:val="clear" w:color="auto" w:fill="D9D9D9"/>
            <w:vAlign w:val="top"/>
            <w:hideMark/>
          </w:tcPr>
          <w:p w14:paraId="6A0DC188" w14:textId="77777777" w:rsidR="00030303" w:rsidRPr="00DB2B77" w:rsidRDefault="00030303" w:rsidP="00030303">
            <w:pPr>
              <w:keepNext/>
              <w:keepLines/>
              <w:spacing w:before="60" w:after="0" w:line="240" w:lineRule="atLeast"/>
              <w:rPr>
                <w:rFonts w:asciiTheme="minorHAnsi" w:eastAsia="Times New Roman" w:hAnsiTheme="minorHAnsi" w:cstheme="minorHAnsi"/>
                <w:b/>
                <w:w w:val="100"/>
                <w:kern w:val="0"/>
                <w:sz w:val="19"/>
                <w:szCs w:val="19"/>
                <w:lang w:eastAsia="en-AU"/>
              </w:rPr>
            </w:pPr>
            <w:r w:rsidRPr="00DB2B77">
              <w:rPr>
                <w:rFonts w:asciiTheme="minorHAnsi" w:eastAsia="Times New Roman" w:hAnsiTheme="minorHAnsi" w:cstheme="minorHAnsi"/>
                <w:b/>
                <w:i/>
                <w:w w:val="100"/>
                <w:kern w:val="0"/>
                <w:sz w:val="19"/>
                <w:szCs w:val="19"/>
                <w:lang w:eastAsia="en-AU"/>
              </w:rPr>
              <w:t>Commissions of Inquiry Act 1995</w:t>
            </w:r>
            <w:r w:rsidRPr="00DB2B77">
              <w:rPr>
                <w:rFonts w:asciiTheme="minorHAnsi" w:eastAsia="Times New Roman" w:hAnsiTheme="minorHAnsi" w:cstheme="minorHAnsi"/>
                <w:b/>
                <w:w w:val="100"/>
                <w:kern w:val="0"/>
                <w:sz w:val="19"/>
                <w:szCs w:val="19"/>
                <w:lang w:eastAsia="en-AU"/>
              </w:rPr>
              <w:t xml:space="preserve"> (Tas)</w:t>
            </w:r>
          </w:p>
        </w:tc>
        <w:tc>
          <w:tcPr>
            <w:tcW w:w="477" w:type="pct"/>
            <w:tcBorders>
              <w:top w:val="single" w:sz="4" w:space="0" w:color="auto"/>
              <w:left w:val="nil"/>
              <w:bottom w:val="single" w:sz="4" w:space="0" w:color="auto"/>
              <w:right w:val="nil"/>
            </w:tcBorders>
            <w:shd w:val="clear" w:color="auto" w:fill="D9D9D9"/>
            <w:vAlign w:val="top"/>
            <w:hideMark/>
          </w:tcPr>
          <w:p w14:paraId="2CC67CE3" w14:textId="77777777" w:rsidR="00030303" w:rsidRPr="00DB2B77" w:rsidRDefault="00030303" w:rsidP="00030303">
            <w:pPr>
              <w:keepNext/>
              <w:keepLines/>
              <w:spacing w:before="60" w:after="0" w:line="240" w:lineRule="atLeast"/>
              <w:rPr>
                <w:rFonts w:asciiTheme="minorHAnsi" w:eastAsia="Times New Roman" w:hAnsiTheme="minorHAnsi" w:cstheme="minorHAnsi"/>
                <w:b/>
                <w:w w:val="100"/>
                <w:kern w:val="0"/>
                <w:sz w:val="19"/>
                <w:szCs w:val="19"/>
                <w:lang w:eastAsia="en-AU"/>
              </w:rPr>
            </w:pPr>
            <w:r w:rsidRPr="00DB2B77">
              <w:rPr>
                <w:rFonts w:asciiTheme="minorHAnsi" w:eastAsia="Times New Roman" w:hAnsiTheme="minorHAnsi" w:cstheme="minorHAnsi"/>
                <w:b/>
                <w:i/>
                <w:w w:val="100"/>
                <w:kern w:val="0"/>
                <w:sz w:val="19"/>
                <w:szCs w:val="19"/>
                <w:lang w:eastAsia="en-AU"/>
              </w:rPr>
              <w:t>Inquiries Act 2014</w:t>
            </w:r>
            <w:r w:rsidRPr="00DB2B77">
              <w:rPr>
                <w:rFonts w:asciiTheme="minorHAnsi" w:eastAsia="Times New Roman" w:hAnsiTheme="minorHAnsi" w:cstheme="minorHAnsi"/>
                <w:b/>
                <w:w w:val="100"/>
                <w:kern w:val="0"/>
                <w:sz w:val="19"/>
                <w:szCs w:val="19"/>
                <w:lang w:eastAsia="en-AU"/>
              </w:rPr>
              <w:t xml:space="preserve"> (Vic)</w:t>
            </w:r>
          </w:p>
        </w:tc>
        <w:tc>
          <w:tcPr>
            <w:tcW w:w="514" w:type="pct"/>
            <w:tcBorders>
              <w:top w:val="single" w:sz="4" w:space="0" w:color="auto"/>
              <w:left w:val="nil"/>
              <w:bottom w:val="single" w:sz="4" w:space="0" w:color="auto"/>
              <w:right w:val="single" w:sz="4" w:space="0" w:color="auto"/>
            </w:tcBorders>
            <w:shd w:val="clear" w:color="auto" w:fill="D9D9D9"/>
            <w:vAlign w:val="top"/>
            <w:hideMark/>
          </w:tcPr>
          <w:p w14:paraId="55B1DB51" w14:textId="77777777" w:rsidR="00030303" w:rsidRPr="00DB2B77" w:rsidRDefault="00030303" w:rsidP="00030303">
            <w:pPr>
              <w:keepNext/>
              <w:keepLines/>
              <w:spacing w:before="60" w:after="0" w:line="240" w:lineRule="atLeast"/>
              <w:rPr>
                <w:rFonts w:asciiTheme="minorHAnsi" w:eastAsia="Times New Roman" w:hAnsiTheme="minorHAnsi" w:cstheme="minorHAnsi"/>
                <w:b/>
                <w:w w:val="100"/>
                <w:kern w:val="0"/>
                <w:sz w:val="19"/>
                <w:szCs w:val="19"/>
                <w:lang w:eastAsia="en-AU"/>
              </w:rPr>
            </w:pPr>
            <w:r w:rsidRPr="00DB2B77">
              <w:rPr>
                <w:rFonts w:asciiTheme="minorHAnsi" w:eastAsia="Times New Roman" w:hAnsiTheme="minorHAnsi" w:cstheme="minorHAnsi"/>
                <w:b/>
                <w:i/>
                <w:w w:val="100"/>
                <w:kern w:val="0"/>
                <w:sz w:val="19"/>
                <w:szCs w:val="19"/>
                <w:lang w:eastAsia="en-AU"/>
              </w:rPr>
              <w:t>Royal Commissions Act 1968</w:t>
            </w:r>
            <w:r w:rsidRPr="00DB2B77">
              <w:rPr>
                <w:rFonts w:asciiTheme="minorHAnsi" w:eastAsia="Times New Roman" w:hAnsiTheme="minorHAnsi" w:cstheme="minorHAnsi"/>
                <w:b/>
                <w:w w:val="100"/>
                <w:kern w:val="0"/>
                <w:sz w:val="19"/>
                <w:szCs w:val="19"/>
                <w:lang w:eastAsia="en-AU"/>
              </w:rPr>
              <w:t xml:space="preserve"> (WA)</w:t>
            </w:r>
          </w:p>
        </w:tc>
      </w:tr>
      <w:tr w:rsidR="00030303" w:rsidRPr="00DB2B77" w14:paraId="13E700A4" w14:textId="77777777" w:rsidTr="00030303">
        <w:tc>
          <w:tcPr>
            <w:tcW w:w="467" w:type="pct"/>
            <w:tcBorders>
              <w:top w:val="single" w:sz="4" w:space="0" w:color="auto"/>
              <w:left w:val="single" w:sz="4" w:space="0" w:color="auto"/>
              <w:bottom w:val="single" w:sz="4" w:space="0" w:color="auto"/>
              <w:right w:val="nil"/>
            </w:tcBorders>
            <w:vAlign w:val="top"/>
            <w:hideMark/>
          </w:tcPr>
          <w:p w14:paraId="27B05FFC" w14:textId="77777777" w:rsidR="00030303" w:rsidRPr="00DB2B77" w:rsidRDefault="00030303" w:rsidP="00030303">
            <w:pPr>
              <w:spacing w:before="60" w:after="60" w:line="240" w:lineRule="atLeast"/>
              <w:rPr>
                <w:rFonts w:asciiTheme="minorHAnsi" w:eastAsia="Times New Roman" w:hAnsiTheme="minorHAnsi" w:cstheme="minorHAnsi"/>
                <w:b/>
                <w:w w:val="100"/>
                <w:kern w:val="0"/>
                <w:sz w:val="19"/>
                <w:szCs w:val="19"/>
                <w:lang w:eastAsia="en-AU"/>
              </w:rPr>
            </w:pPr>
            <w:r w:rsidRPr="00DB2B77">
              <w:rPr>
                <w:rFonts w:asciiTheme="minorHAnsi" w:eastAsia="Times New Roman" w:hAnsiTheme="minorHAnsi" w:cstheme="minorHAnsi"/>
                <w:b/>
                <w:w w:val="100"/>
                <w:kern w:val="0"/>
                <w:sz w:val="19"/>
                <w:szCs w:val="19"/>
                <w:lang w:eastAsia="en-AU"/>
              </w:rPr>
              <w:t xml:space="preserve">Protections for witnesses </w:t>
            </w:r>
          </w:p>
        </w:tc>
        <w:tc>
          <w:tcPr>
            <w:tcW w:w="503" w:type="pct"/>
            <w:tcBorders>
              <w:top w:val="single" w:sz="4" w:space="0" w:color="auto"/>
              <w:left w:val="nil"/>
              <w:bottom w:val="single" w:sz="4" w:space="0" w:color="auto"/>
              <w:right w:val="nil"/>
            </w:tcBorders>
            <w:shd w:val="clear" w:color="auto" w:fill="D9D9D9"/>
            <w:vAlign w:val="top"/>
            <w:hideMark/>
          </w:tcPr>
          <w:p w14:paraId="345F1692" w14:textId="77777777" w:rsidR="00030303" w:rsidRPr="00DB2B77" w:rsidRDefault="00030303" w:rsidP="00030303">
            <w:pPr>
              <w:spacing w:before="60" w:after="60" w:line="240" w:lineRule="atLeast"/>
              <w:rPr>
                <w:rFonts w:asciiTheme="minorHAnsi" w:eastAsia="Times New Roman" w:hAnsiTheme="minorHAnsi" w:cstheme="minorHAnsi"/>
                <w:w w:val="100"/>
                <w:kern w:val="0"/>
                <w:sz w:val="19"/>
                <w:szCs w:val="19"/>
                <w:lang w:eastAsia="en-AU"/>
              </w:rPr>
            </w:pPr>
            <w:r w:rsidRPr="00DB2B77">
              <w:rPr>
                <w:rFonts w:asciiTheme="minorHAnsi" w:eastAsia="Times New Roman" w:hAnsiTheme="minorHAnsi" w:cstheme="minorHAnsi"/>
                <w:w w:val="100"/>
                <w:kern w:val="0"/>
                <w:sz w:val="19"/>
                <w:szCs w:val="19"/>
                <w:lang w:eastAsia="en-AU"/>
              </w:rPr>
              <w:t xml:space="preserve">Witnesses summoned or appearing before the Commission have the same protection, and are subject to the same liabilities in any civil or criminal proceeding, as witnesses in any case tried in the High Court (s 7(2)). </w:t>
            </w:r>
          </w:p>
        </w:tc>
        <w:tc>
          <w:tcPr>
            <w:tcW w:w="504" w:type="pct"/>
            <w:tcBorders>
              <w:top w:val="single" w:sz="4" w:space="0" w:color="auto"/>
              <w:left w:val="nil"/>
              <w:bottom w:val="single" w:sz="4" w:space="0" w:color="auto"/>
              <w:right w:val="nil"/>
            </w:tcBorders>
            <w:vAlign w:val="top"/>
            <w:hideMark/>
          </w:tcPr>
          <w:p w14:paraId="3EF1B894" w14:textId="77777777" w:rsidR="00030303" w:rsidRPr="00DB2B77" w:rsidRDefault="00030303" w:rsidP="00030303">
            <w:pPr>
              <w:spacing w:before="60" w:after="60" w:line="240" w:lineRule="atLeast"/>
              <w:rPr>
                <w:rFonts w:asciiTheme="minorHAnsi" w:eastAsia="Times New Roman" w:hAnsiTheme="minorHAnsi" w:cstheme="minorHAnsi"/>
                <w:w w:val="100"/>
                <w:kern w:val="0"/>
                <w:sz w:val="19"/>
                <w:szCs w:val="19"/>
                <w:lang w:eastAsia="en-AU"/>
              </w:rPr>
            </w:pPr>
            <w:r w:rsidRPr="00DB2B77">
              <w:rPr>
                <w:rFonts w:asciiTheme="minorHAnsi" w:eastAsia="Times New Roman" w:hAnsiTheme="minorHAnsi" w:cstheme="minorHAnsi"/>
                <w:w w:val="100"/>
                <w:kern w:val="0"/>
                <w:sz w:val="19"/>
                <w:szCs w:val="19"/>
                <w:lang w:eastAsia="en-AU"/>
              </w:rPr>
              <w:t>A person subpoenaed to attend or appearing before a Commission as a witness has the same protection, and is subject to the same liabilities, as a witness in proceedings in the Supreme Court (s 19(3)).</w:t>
            </w:r>
          </w:p>
        </w:tc>
        <w:tc>
          <w:tcPr>
            <w:tcW w:w="504" w:type="pct"/>
            <w:tcBorders>
              <w:top w:val="single" w:sz="4" w:space="0" w:color="auto"/>
              <w:left w:val="nil"/>
              <w:bottom w:val="single" w:sz="4" w:space="0" w:color="auto"/>
              <w:right w:val="nil"/>
            </w:tcBorders>
            <w:vAlign w:val="top"/>
            <w:hideMark/>
          </w:tcPr>
          <w:p w14:paraId="5A42E1ED" w14:textId="77777777" w:rsidR="00030303" w:rsidRPr="00DB2B77" w:rsidRDefault="00030303" w:rsidP="00030303">
            <w:pPr>
              <w:spacing w:before="60" w:after="60" w:line="240" w:lineRule="atLeast"/>
              <w:rPr>
                <w:rFonts w:asciiTheme="minorHAnsi" w:eastAsia="Times New Roman" w:hAnsiTheme="minorHAnsi" w:cstheme="minorHAnsi"/>
                <w:w w:val="100"/>
                <w:kern w:val="0"/>
                <w:sz w:val="19"/>
                <w:szCs w:val="19"/>
                <w:lang w:eastAsia="en-AU"/>
              </w:rPr>
            </w:pPr>
            <w:r w:rsidRPr="00DB2B77">
              <w:rPr>
                <w:rFonts w:asciiTheme="minorHAnsi" w:eastAsia="Times New Roman" w:hAnsiTheme="minorHAnsi" w:cstheme="minorHAnsi"/>
                <w:w w:val="100"/>
                <w:kern w:val="0"/>
                <w:sz w:val="19"/>
                <w:szCs w:val="19"/>
                <w:lang w:eastAsia="en-AU"/>
              </w:rPr>
              <w:t>A witness summoned or appearing before the Commission has the same protection, and is subject to the same liabilities in any civil or criminal proceeding, as a witness in any case tried in the Supreme Court (s 11(3)).</w:t>
            </w:r>
          </w:p>
        </w:tc>
        <w:tc>
          <w:tcPr>
            <w:tcW w:w="504" w:type="pct"/>
            <w:tcBorders>
              <w:top w:val="single" w:sz="4" w:space="0" w:color="auto"/>
              <w:left w:val="nil"/>
              <w:bottom w:val="single" w:sz="4" w:space="0" w:color="auto"/>
              <w:right w:val="nil"/>
            </w:tcBorders>
            <w:vAlign w:val="top"/>
            <w:hideMark/>
          </w:tcPr>
          <w:p w14:paraId="52E22AF8" w14:textId="77777777" w:rsidR="00030303" w:rsidRPr="00DB2B77" w:rsidRDefault="00030303" w:rsidP="00030303">
            <w:pPr>
              <w:spacing w:before="60" w:after="60" w:line="240" w:lineRule="atLeast"/>
              <w:rPr>
                <w:rFonts w:asciiTheme="minorHAnsi" w:eastAsia="Times New Roman" w:hAnsiTheme="minorHAnsi" w:cstheme="minorHAnsi"/>
                <w:w w:val="100"/>
                <w:kern w:val="0"/>
                <w:sz w:val="19"/>
                <w:szCs w:val="19"/>
                <w:lang w:eastAsia="en-AU"/>
              </w:rPr>
            </w:pPr>
            <w:r w:rsidRPr="00DB2B77">
              <w:rPr>
                <w:rFonts w:asciiTheme="minorHAnsi" w:eastAsia="Times New Roman" w:hAnsiTheme="minorHAnsi" w:cstheme="minorHAnsi"/>
                <w:w w:val="100"/>
                <w:kern w:val="0"/>
                <w:sz w:val="19"/>
                <w:szCs w:val="19"/>
                <w:lang w:eastAsia="en-AU"/>
              </w:rPr>
              <w:t>A witness before a Board or a Commissioner has the same protection, and has the same liabilities in any civil or criminal proceeding, as a witness in any matter before the Supreme Court (s 15).</w:t>
            </w:r>
          </w:p>
        </w:tc>
        <w:tc>
          <w:tcPr>
            <w:tcW w:w="509" w:type="pct"/>
            <w:tcBorders>
              <w:top w:val="single" w:sz="4" w:space="0" w:color="auto"/>
              <w:left w:val="nil"/>
              <w:bottom w:val="single" w:sz="4" w:space="0" w:color="auto"/>
              <w:right w:val="nil"/>
            </w:tcBorders>
            <w:vAlign w:val="top"/>
            <w:hideMark/>
          </w:tcPr>
          <w:p w14:paraId="49975F2F" w14:textId="77777777" w:rsidR="00030303" w:rsidRPr="00DB2B77" w:rsidRDefault="00030303" w:rsidP="00030303">
            <w:pPr>
              <w:spacing w:before="60" w:after="60" w:line="240" w:lineRule="atLeast"/>
              <w:rPr>
                <w:rFonts w:asciiTheme="minorHAnsi" w:eastAsia="Times New Roman" w:hAnsiTheme="minorHAnsi" w:cstheme="minorHAnsi"/>
                <w:w w:val="100"/>
                <w:kern w:val="0"/>
                <w:sz w:val="19"/>
                <w:szCs w:val="19"/>
                <w:lang w:eastAsia="en-AU"/>
              </w:rPr>
            </w:pPr>
            <w:r w:rsidRPr="00DB2B77">
              <w:rPr>
                <w:rFonts w:asciiTheme="minorHAnsi" w:eastAsia="Times New Roman" w:hAnsiTheme="minorHAnsi" w:cstheme="minorHAnsi"/>
                <w:w w:val="100"/>
                <w:kern w:val="0"/>
                <w:sz w:val="19"/>
                <w:szCs w:val="19"/>
                <w:lang w:eastAsia="en-AU"/>
              </w:rPr>
              <w:t>A witness summoned to attend or appearing before a Commission shall have the same protection, and be subject to the same liabilities, as a witness in any action or trial in the Supreme Court (s 14B).</w:t>
            </w:r>
          </w:p>
        </w:tc>
        <w:tc>
          <w:tcPr>
            <w:tcW w:w="514" w:type="pct"/>
            <w:tcBorders>
              <w:top w:val="single" w:sz="4" w:space="0" w:color="auto"/>
              <w:left w:val="nil"/>
              <w:bottom w:val="single" w:sz="4" w:space="0" w:color="auto"/>
              <w:right w:val="nil"/>
            </w:tcBorders>
            <w:vAlign w:val="top"/>
            <w:hideMark/>
          </w:tcPr>
          <w:p w14:paraId="4F2B67EA" w14:textId="77777777" w:rsidR="00030303" w:rsidRPr="00DB2B77" w:rsidRDefault="00030303" w:rsidP="00030303">
            <w:pPr>
              <w:spacing w:before="60" w:after="60" w:line="240" w:lineRule="atLeast"/>
              <w:rPr>
                <w:rFonts w:asciiTheme="minorHAnsi" w:eastAsia="Times New Roman" w:hAnsiTheme="minorHAnsi" w:cstheme="minorHAnsi"/>
                <w:w w:val="100"/>
                <w:kern w:val="0"/>
                <w:sz w:val="19"/>
                <w:szCs w:val="19"/>
                <w:lang w:eastAsia="en-AU"/>
              </w:rPr>
            </w:pPr>
            <w:r w:rsidRPr="00DB2B77">
              <w:rPr>
                <w:rFonts w:asciiTheme="minorHAnsi" w:eastAsia="Times New Roman" w:hAnsiTheme="minorHAnsi" w:cstheme="minorHAnsi"/>
                <w:w w:val="100"/>
                <w:kern w:val="0"/>
                <w:sz w:val="19"/>
                <w:szCs w:val="19"/>
                <w:lang w:eastAsia="en-AU"/>
              </w:rPr>
              <w:t>A</w:t>
            </w:r>
            <w:r w:rsidRPr="00DB2B77">
              <w:rPr>
                <w:rFonts w:asciiTheme="minorHAnsi" w:eastAsia="Times New Roman" w:hAnsiTheme="minorHAnsi" w:cstheme="minorHAnsi"/>
                <w:b/>
                <w:w w:val="100"/>
                <w:kern w:val="0"/>
                <w:sz w:val="19"/>
                <w:szCs w:val="19"/>
                <w:lang w:eastAsia="en-AU"/>
              </w:rPr>
              <w:t xml:space="preserve"> </w:t>
            </w:r>
            <w:r w:rsidRPr="00DB2B77">
              <w:rPr>
                <w:rFonts w:asciiTheme="minorHAnsi" w:eastAsia="Times New Roman" w:hAnsiTheme="minorHAnsi" w:cstheme="minorHAnsi"/>
                <w:w w:val="100"/>
                <w:kern w:val="0"/>
                <w:sz w:val="19"/>
                <w:szCs w:val="19"/>
                <w:lang w:eastAsia="en-AU"/>
              </w:rPr>
              <w:t>witness before the Commission has the same protection and immunities as a witness in proceedings before the Supreme Court (s 16B).</w:t>
            </w:r>
          </w:p>
        </w:tc>
        <w:tc>
          <w:tcPr>
            <w:tcW w:w="504" w:type="pct"/>
            <w:tcBorders>
              <w:top w:val="single" w:sz="4" w:space="0" w:color="auto"/>
              <w:left w:val="nil"/>
              <w:bottom w:val="single" w:sz="4" w:space="0" w:color="auto"/>
              <w:right w:val="nil"/>
            </w:tcBorders>
            <w:vAlign w:val="top"/>
            <w:hideMark/>
          </w:tcPr>
          <w:p w14:paraId="4F3E4DAE" w14:textId="77777777" w:rsidR="00030303" w:rsidRPr="00DB2B77" w:rsidRDefault="00030303" w:rsidP="00030303">
            <w:pPr>
              <w:spacing w:before="60" w:after="60" w:line="240" w:lineRule="atLeast"/>
              <w:rPr>
                <w:rFonts w:asciiTheme="minorHAnsi" w:eastAsia="Times New Roman" w:hAnsiTheme="minorHAnsi" w:cstheme="minorHAnsi"/>
                <w:b/>
                <w:w w:val="100"/>
                <w:kern w:val="0"/>
                <w:sz w:val="19"/>
                <w:szCs w:val="19"/>
                <w:lang w:eastAsia="en-AU"/>
              </w:rPr>
            </w:pPr>
            <w:r w:rsidRPr="00DB2B77">
              <w:rPr>
                <w:rFonts w:asciiTheme="minorHAnsi" w:eastAsia="Times New Roman" w:hAnsiTheme="minorHAnsi" w:cstheme="minorHAnsi"/>
                <w:w w:val="100"/>
                <w:kern w:val="0"/>
                <w:sz w:val="19"/>
                <w:szCs w:val="19"/>
                <w:lang w:eastAsia="en-AU"/>
              </w:rPr>
              <w:t>A witness who appears before a Commission has the same protection and immunity as a witness appearing before the Supreme Court (s 8(5)).</w:t>
            </w:r>
          </w:p>
        </w:tc>
        <w:tc>
          <w:tcPr>
            <w:tcW w:w="477" w:type="pct"/>
            <w:tcBorders>
              <w:top w:val="single" w:sz="4" w:space="0" w:color="auto"/>
              <w:left w:val="nil"/>
              <w:bottom w:val="single" w:sz="4" w:space="0" w:color="auto"/>
              <w:right w:val="nil"/>
            </w:tcBorders>
            <w:vAlign w:val="top"/>
            <w:hideMark/>
          </w:tcPr>
          <w:p w14:paraId="2436E59A" w14:textId="77777777" w:rsidR="00030303" w:rsidRPr="00DB2B77" w:rsidRDefault="00030303" w:rsidP="00030303">
            <w:pPr>
              <w:spacing w:before="60" w:after="60" w:line="240" w:lineRule="atLeast"/>
              <w:rPr>
                <w:rFonts w:asciiTheme="minorHAnsi" w:eastAsia="Times New Roman" w:hAnsiTheme="minorHAnsi" w:cstheme="minorHAnsi"/>
                <w:w w:val="100"/>
                <w:kern w:val="0"/>
                <w:sz w:val="19"/>
                <w:szCs w:val="19"/>
                <w:lang w:eastAsia="en-AU"/>
              </w:rPr>
            </w:pPr>
            <w:r w:rsidRPr="00DB2B77">
              <w:rPr>
                <w:rFonts w:asciiTheme="minorHAnsi" w:eastAsia="Times New Roman" w:hAnsiTheme="minorHAnsi" w:cstheme="minorHAnsi"/>
                <w:w w:val="100"/>
                <w:kern w:val="0"/>
                <w:sz w:val="19"/>
                <w:szCs w:val="19"/>
                <w:lang w:eastAsia="en-AU"/>
              </w:rPr>
              <w:t>A person who gives information or evidence, or produces a document or other thing, to a Royal Commission has the same protection and immunity as a witness has in proceedings in the Supreme Court (s 39(4)).</w:t>
            </w:r>
          </w:p>
          <w:p w14:paraId="6913132B" w14:textId="77777777" w:rsidR="00030303" w:rsidRPr="00DB2B77" w:rsidRDefault="00030303" w:rsidP="00030303">
            <w:pPr>
              <w:spacing w:before="60" w:after="60" w:line="240" w:lineRule="atLeast"/>
              <w:rPr>
                <w:rFonts w:asciiTheme="minorHAnsi" w:eastAsia="Times New Roman" w:hAnsiTheme="minorHAnsi" w:cstheme="minorHAnsi"/>
                <w:b/>
                <w:w w:val="100"/>
                <w:kern w:val="0"/>
                <w:sz w:val="19"/>
                <w:szCs w:val="19"/>
                <w:lang w:eastAsia="en-AU"/>
              </w:rPr>
            </w:pPr>
            <w:r w:rsidRPr="00DB2B77">
              <w:rPr>
                <w:rFonts w:asciiTheme="minorHAnsi" w:eastAsia="Times New Roman" w:hAnsiTheme="minorHAnsi" w:cstheme="minorHAnsi"/>
                <w:w w:val="100"/>
                <w:kern w:val="0"/>
                <w:sz w:val="19"/>
                <w:szCs w:val="19"/>
                <w:lang w:eastAsia="en-AU"/>
              </w:rPr>
              <w:lastRenderedPageBreak/>
              <w:t>Equivalent provisions apply in respect of Boards of Inquiry (s 79) and Formal Reviews (s 111).</w:t>
            </w:r>
          </w:p>
        </w:tc>
        <w:tc>
          <w:tcPr>
            <w:tcW w:w="514" w:type="pct"/>
            <w:tcBorders>
              <w:top w:val="single" w:sz="4" w:space="0" w:color="auto"/>
              <w:left w:val="nil"/>
              <w:bottom w:val="single" w:sz="4" w:space="0" w:color="auto"/>
              <w:right w:val="single" w:sz="4" w:space="0" w:color="auto"/>
            </w:tcBorders>
            <w:vAlign w:val="top"/>
            <w:hideMark/>
          </w:tcPr>
          <w:p w14:paraId="1BD34ABD" w14:textId="77777777" w:rsidR="00030303" w:rsidRPr="00DB2B77" w:rsidRDefault="00030303" w:rsidP="00030303">
            <w:pPr>
              <w:spacing w:before="60" w:after="60" w:line="240" w:lineRule="atLeast"/>
              <w:rPr>
                <w:rFonts w:asciiTheme="minorHAnsi" w:eastAsia="Times New Roman" w:hAnsiTheme="minorHAnsi" w:cstheme="minorHAnsi"/>
                <w:b/>
                <w:w w:val="100"/>
                <w:kern w:val="0"/>
                <w:sz w:val="19"/>
                <w:szCs w:val="19"/>
                <w:lang w:eastAsia="en-AU"/>
              </w:rPr>
            </w:pPr>
            <w:r w:rsidRPr="00DB2B77">
              <w:rPr>
                <w:rFonts w:asciiTheme="minorHAnsi" w:eastAsia="Times New Roman" w:hAnsiTheme="minorHAnsi" w:cstheme="minorHAnsi"/>
                <w:w w:val="100"/>
                <w:kern w:val="0"/>
                <w:sz w:val="19"/>
                <w:szCs w:val="19"/>
                <w:lang w:eastAsia="en-AU"/>
              </w:rPr>
              <w:lastRenderedPageBreak/>
              <w:t>A witness summoned to attend or appearing before the Commission has the same protection, and is subject to the same liabilities in any civil or criminal proceeding, as a witness in any case tried in the Supreme Court (s 31(2)).</w:t>
            </w:r>
          </w:p>
        </w:tc>
      </w:tr>
      <w:tr w:rsidR="00030303" w:rsidRPr="00DB2B77" w14:paraId="02719669" w14:textId="77777777" w:rsidTr="00030303">
        <w:tc>
          <w:tcPr>
            <w:tcW w:w="467" w:type="pct"/>
            <w:tcBorders>
              <w:top w:val="single" w:sz="4" w:space="0" w:color="auto"/>
              <w:left w:val="single" w:sz="4" w:space="0" w:color="auto"/>
              <w:bottom w:val="single" w:sz="4" w:space="0" w:color="auto"/>
              <w:right w:val="nil"/>
            </w:tcBorders>
            <w:vAlign w:val="top"/>
            <w:hideMark/>
          </w:tcPr>
          <w:p w14:paraId="20104E19" w14:textId="77777777" w:rsidR="00030303" w:rsidRPr="00DB2B77" w:rsidRDefault="00030303" w:rsidP="00030303">
            <w:pPr>
              <w:spacing w:before="60" w:after="60" w:line="240" w:lineRule="atLeast"/>
              <w:rPr>
                <w:rFonts w:asciiTheme="minorHAnsi" w:eastAsia="Times New Roman" w:hAnsiTheme="minorHAnsi" w:cstheme="minorHAnsi"/>
                <w:b/>
                <w:w w:val="100"/>
                <w:kern w:val="0"/>
                <w:sz w:val="19"/>
                <w:szCs w:val="19"/>
                <w:lang w:eastAsia="en-AU"/>
              </w:rPr>
            </w:pPr>
            <w:r w:rsidRPr="00DB2B77">
              <w:rPr>
                <w:rFonts w:asciiTheme="minorHAnsi" w:eastAsia="Times New Roman" w:hAnsiTheme="minorHAnsi" w:cstheme="minorHAnsi"/>
                <w:b/>
                <w:w w:val="100"/>
                <w:kern w:val="0"/>
                <w:sz w:val="19"/>
                <w:szCs w:val="19"/>
                <w:lang w:eastAsia="en-AU"/>
              </w:rPr>
              <w:t>Protections for witnesses under examination or cross-examination by legal representative</w:t>
            </w:r>
          </w:p>
        </w:tc>
        <w:tc>
          <w:tcPr>
            <w:tcW w:w="503" w:type="pct"/>
            <w:tcBorders>
              <w:top w:val="single" w:sz="4" w:space="0" w:color="auto"/>
              <w:left w:val="nil"/>
              <w:bottom w:val="single" w:sz="4" w:space="0" w:color="auto"/>
              <w:right w:val="nil"/>
            </w:tcBorders>
            <w:shd w:val="clear" w:color="auto" w:fill="D9D9D9"/>
            <w:vAlign w:val="top"/>
            <w:hideMark/>
          </w:tcPr>
          <w:p w14:paraId="2C90E99A" w14:textId="77777777" w:rsidR="00030303" w:rsidRPr="00DB2B77" w:rsidRDefault="00030303" w:rsidP="00030303">
            <w:pPr>
              <w:spacing w:before="60" w:after="60" w:line="240" w:lineRule="atLeast"/>
              <w:rPr>
                <w:rFonts w:asciiTheme="minorHAnsi" w:eastAsia="Times New Roman" w:hAnsiTheme="minorHAnsi" w:cstheme="minorHAnsi"/>
                <w:w w:val="100"/>
                <w:kern w:val="0"/>
                <w:sz w:val="19"/>
                <w:szCs w:val="19"/>
                <w:lang w:eastAsia="en-AU"/>
              </w:rPr>
            </w:pPr>
            <w:r w:rsidRPr="00DB2B77">
              <w:rPr>
                <w:rFonts w:asciiTheme="minorHAnsi" w:eastAsia="Times New Roman" w:hAnsiTheme="minorHAnsi" w:cstheme="minorHAnsi"/>
                <w:w w:val="100"/>
                <w:kern w:val="0"/>
                <w:sz w:val="19"/>
                <w:szCs w:val="19"/>
                <w:lang w:eastAsia="en-AU"/>
              </w:rPr>
              <w:t>Any witness examined or cross-examined by a legal representative before a Commission has the same protection, and is subject to the same liabilities, as if examined by any Commissioner (s 6FA).</w:t>
            </w:r>
          </w:p>
        </w:tc>
        <w:tc>
          <w:tcPr>
            <w:tcW w:w="504" w:type="pct"/>
            <w:tcBorders>
              <w:top w:val="single" w:sz="4" w:space="0" w:color="auto"/>
              <w:left w:val="nil"/>
              <w:bottom w:val="single" w:sz="4" w:space="0" w:color="auto"/>
              <w:right w:val="nil"/>
            </w:tcBorders>
            <w:vAlign w:val="top"/>
            <w:hideMark/>
          </w:tcPr>
          <w:p w14:paraId="4E5E8E96" w14:textId="77777777" w:rsidR="00030303" w:rsidRPr="00DB2B77" w:rsidRDefault="00030303" w:rsidP="00030303">
            <w:pPr>
              <w:spacing w:before="60" w:after="60" w:line="240" w:lineRule="atLeast"/>
              <w:rPr>
                <w:rFonts w:asciiTheme="minorHAnsi" w:eastAsia="Times New Roman" w:hAnsiTheme="minorHAnsi" w:cstheme="minorHAnsi"/>
                <w:w w:val="100"/>
                <w:kern w:val="0"/>
                <w:sz w:val="19"/>
                <w:szCs w:val="19"/>
                <w:lang w:eastAsia="en-AU"/>
              </w:rPr>
            </w:pPr>
            <w:r w:rsidRPr="00DB2B77">
              <w:rPr>
                <w:rFonts w:asciiTheme="minorHAnsi" w:eastAsia="Times New Roman" w:hAnsiTheme="minorHAnsi" w:cstheme="minorHAnsi"/>
                <w:w w:val="100"/>
                <w:kern w:val="0"/>
                <w:sz w:val="19"/>
                <w:szCs w:val="19"/>
                <w:lang w:eastAsia="en-AU"/>
              </w:rPr>
              <w:t>N/A</w:t>
            </w:r>
          </w:p>
        </w:tc>
        <w:tc>
          <w:tcPr>
            <w:tcW w:w="504" w:type="pct"/>
            <w:tcBorders>
              <w:top w:val="single" w:sz="4" w:space="0" w:color="auto"/>
              <w:left w:val="nil"/>
              <w:bottom w:val="single" w:sz="4" w:space="0" w:color="auto"/>
              <w:right w:val="nil"/>
            </w:tcBorders>
            <w:vAlign w:val="top"/>
            <w:hideMark/>
          </w:tcPr>
          <w:p w14:paraId="1C9101F0" w14:textId="77777777" w:rsidR="00030303" w:rsidRPr="00DB2B77" w:rsidRDefault="00030303" w:rsidP="00030303">
            <w:pPr>
              <w:spacing w:before="60" w:after="60" w:line="240" w:lineRule="atLeast"/>
              <w:rPr>
                <w:rFonts w:asciiTheme="minorHAnsi" w:eastAsia="Times New Roman" w:hAnsiTheme="minorHAnsi" w:cstheme="minorHAnsi"/>
                <w:w w:val="100"/>
                <w:kern w:val="0"/>
                <w:sz w:val="19"/>
                <w:szCs w:val="19"/>
                <w:lang w:eastAsia="en-AU"/>
              </w:rPr>
            </w:pPr>
            <w:r w:rsidRPr="00DB2B77">
              <w:rPr>
                <w:rFonts w:asciiTheme="minorHAnsi" w:eastAsia="Times New Roman" w:hAnsiTheme="minorHAnsi" w:cstheme="minorHAnsi"/>
                <w:w w:val="100"/>
                <w:kern w:val="0"/>
                <w:sz w:val="19"/>
                <w:szCs w:val="19"/>
                <w:lang w:eastAsia="en-AU"/>
              </w:rPr>
              <w:t>Any witness examined or cross-examined by a legal representative before a Commission has the same protection, and is subject to the same liabilities, as if examined by the Commissioner (s 7).</w:t>
            </w:r>
          </w:p>
        </w:tc>
        <w:tc>
          <w:tcPr>
            <w:tcW w:w="504" w:type="pct"/>
            <w:tcBorders>
              <w:top w:val="single" w:sz="4" w:space="0" w:color="auto"/>
              <w:left w:val="nil"/>
              <w:bottom w:val="single" w:sz="4" w:space="0" w:color="auto"/>
              <w:right w:val="nil"/>
            </w:tcBorders>
            <w:vAlign w:val="top"/>
            <w:hideMark/>
          </w:tcPr>
          <w:p w14:paraId="020407D1" w14:textId="77777777" w:rsidR="00030303" w:rsidRPr="00DB2B77" w:rsidRDefault="00030303" w:rsidP="00030303">
            <w:pPr>
              <w:spacing w:before="60" w:after="60" w:line="240" w:lineRule="atLeast"/>
              <w:rPr>
                <w:rFonts w:asciiTheme="minorHAnsi" w:eastAsia="Times New Roman" w:hAnsiTheme="minorHAnsi" w:cstheme="minorHAnsi"/>
                <w:b/>
                <w:w w:val="100"/>
                <w:kern w:val="0"/>
                <w:sz w:val="19"/>
                <w:szCs w:val="19"/>
                <w:lang w:eastAsia="en-AU"/>
              </w:rPr>
            </w:pPr>
            <w:r w:rsidRPr="00DB2B77">
              <w:rPr>
                <w:rFonts w:asciiTheme="minorHAnsi" w:eastAsia="Times New Roman" w:hAnsiTheme="minorHAnsi" w:cstheme="minorHAnsi"/>
                <w:w w:val="100"/>
                <w:kern w:val="0"/>
                <w:sz w:val="19"/>
                <w:szCs w:val="19"/>
                <w:lang w:eastAsia="en-AU"/>
              </w:rPr>
              <w:t>N/A</w:t>
            </w:r>
          </w:p>
        </w:tc>
        <w:tc>
          <w:tcPr>
            <w:tcW w:w="509" w:type="pct"/>
            <w:tcBorders>
              <w:top w:val="single" w:sz="4" w:space="0" w:color="auto"/>
              <w:left w:val="nil"/>
              <w:bottom w:val="single" w:sz="4" w:space="0" w:color="auto"/>
              <w:right w:val="nil"/>
            </w:tcBorders>
            <w:vAlign w:val="top"/>
            <w:hideMark/>
          </w:tcPr>
          <w:p w14:paraId="6FAC962B" w14:textId="77777777" w:rsidR="00030303" w:rsidRPr="00DB2B77" w:rsidRDefault="00030303" w:rsidP="00030303">
            <w:pPr>
              <w:spacing w:before="60" w:after="60" w:line="240" w:lineRule="atLeast"/>
              <w:rPr>
                <w:rFonts w:asciiTheme="minorHAnsi" w:eastAsia="Times New Roman" w:hAnsiTheme="minorHAnsi" w:cstheme="minorHAnsi"/>
                <w:w w:val="100"/>
                <w:kern w:val="0"/>
                <w:sz w:val="19"/>
                <w:szCs w:val="19"/>
                <w:lang w:eastAsia="en-AU"/>
              </w:rPr>
            </w:pPr>
            <w:r w:rsidRPr="00DB2B77">
              <w:rPr>
                <w:rFonts w:asciiTheme="minorHAnsi" w:eastAsia="Times New Roman" w:hAnsiTheme="minorHAnsi" w:cstheme="minorHAnsi"/>
                <w:w w:val="100"/>
                <w:kern w:val="0"/>
                <w:sz w:val="19"/>
                <w:szCs w:val="19"/>
                <w:lang w:eastAsia="en-AU"/>
              </w:rPr>
              <w:t>Any witness examined or cross-examined by a legal representative before a Commission has the same protection, and is subject to the same liabilities, as if examined by a Commissioner (s 21).</w:t>
            </w:r>
          </w:p>
        </w:tc>
        <w:tc>
          <w:tcPr>
            <w:tcW w:w="514" w:type="pct"/>
            <w:tcBorders>
              <w:top w:val="single" w:sz="4" w:space="0" w:color="auto"/>
              <w:left w:val="nil"/>
              <w:bottom w:val="single" w:sz="4" w:space="0" w:color="auto"/>
              <w:right w:val="nil"/>
            </w:tcBorders>
            <w:vAlign w:val="top"/>
            <w:hideMark/>
          </w:tcPr>
          <w:p w14:paraId="4B09E722" w14:textId="77777777" w:rsidR="00030303" w:rsidRPr="00DB2B77" w:rsidRDefault="00030303" w:rsidP="00030303">
            <w:pPr>
              <w:spacing w:before="60" w:after="60" w:line="240" w:lineRule="atLeast"/>
              <w:rPr>
                <w:rFonts w:asciiTheme="minorHAnsi" w:eastAsia="Times New Roman" w:hAnsiTheme="minorHAnsi" w:cstheme="minorHAnsi"/>
                <w:w w:val="100"/>
                <w:kern w:val="0"/>
                <w:sz w:val="19"/>
                <w:szCs w:val="19"/>
                <w:lang w:eastAsia="en-AU"/>
              </w:rPr>
            </w:pPr>
            <w:r w:rsidRPr="00DB2B77">
              <w:rPr>
                <w:rFonts w:asciiTheme="minorHAnsi" w:eastAsia="Times New Roman" w:hAnsiTheme="minorHAnsi" w:cstheme="minorHAnsi"/>
                <w:w w:val="100"/>
                <w:kern w:val="0"/>
                <w:sz w:val="19"/>
                <w:szCs w:val="19"/>
                <w:lang w:eastAsia="en-AU"/>
              </w:rPr>
              <w:t>N/A</w:t>
            </w:r>
          </w:p>
        </w:tc>
        <w:tc>
          <w:tcPr>
            <w:tcW w:w="504" w:type="pct"/>
            <w:tcBorders>
              <w:top w:val="single" w:sz="4" w:space="0" w:color="auto"/>
              <w:left w:val="nil"/>
              <w:bottom w:val="single" w:sz="4" w:space="0" w:color="auto"/>
              <w:right w:val="nil"/>
            </w:tcBorders>
            <w:vAlign w:val="top"/>
            <w:hideMark/>
          </w:tcPr>
          <w:p w14:paraId="55F4E954" w14:textId="77777777" w:rsidR="00030303" w:rsidRPr="00DB2B77" w:rsidRDefault="00030303" w:rsidP="00030303">
            <w:pPr>
              <w:spacing w:before="60" w:after="60" w:line="240" w:lineRule="atLeast"/>
              <w:rPr>
                <w:rFonts w:asciiTheme="minorHAnsi" w:eastAsia="Times New Roman" w:hAnsiTheme="minorHAnsi" w:cstheme="minorHAnsi"/>
                <w:b/>
                <w:w w:val="100"/>
                <w:kern w:val="0"/>
                <w:sz w:val="19"/>
                <w:szCs w:val="19"/>
                <w:lang w:eastAsia="en-AU"/>
              </w:rPr>
            </w:pPr>
            <w:r w:rsidRPr="00DB2B77">
              <w:rPr>
                <w:rFonts w:asciiTheme="minorHAnsi" w:eastAsia="Times New Roman" w:hAnsiTheme="minorHAnsi" w:cstheme="minorHAnsi"/>
                <w:w w:val="100"/>
                <w:kern w:val="0"/>
                <w:sz w:val="19"/>
                <w:szCs w:val="19"/>
                <w:lang w:eastAsia="en-AU"/>
              </w:rPr>
              <w:t>N/A</w:t>
            </w:r>
          </w:p>
        </w:tc>
        <w:tc>
          <w:tcPr>
            <w:tcW w:w="477" w:type="pct"/>
            <w:tcBorders>
              <w:top w:val="single" w:sz="4" w:space="0" w:color="auto"/>
              <w:left w:val="nil"/>
              <w:bottom w:val="single" w:sz="4" w:space="0" w:color="auto"/>
              <w:right w:val="nil"/>
            </w:tcBorders>
            <w:vAlign w:val="top"/>
            <w:hideMark/>
          </w:tcPr>
          <w:p w14:paraId="2FA81D86" w14:textId="77777777" w:rsidR="00030303" w:rsidRPr="00DB2B77" w:rsidRDefault="00030303" w:rsidP="00030303">
            <w:pPr>
              <w:spacing w:before="60" w:after="60" w:line="240" w:lineRule="atLeast"/>
              <w:rPr>
                <w:rFonts w:asciiTheme="minorHAnsi" w:eastAsia="Times New Roman" w:hAnsiTheme="minorHAnsi" w:cstheme="minorHAnsi"/>
                <w:b/>
                <w:w w:val="100"/>
                <w:kern w:val="0"/>
                <w:sz w:val="19"/>
                <w:szCs w:val="19"/>
                <w:lang w:eastAsia="en-AU"/>
              </w:rPr>
            </w:pPr>
            <w:r w:rsidRPr="00DB2B77">
              <w:rPr>
                <w:rFonts w:asciiTheme="minorHAnsi" w:eastAsia="Times New Roman" w:hAnsiTheme="minorHAnsi" w:cstheme="minorHAnsi"/>
                <w:w w:val="100"/>
                <w:kern w:val="0"/>
                <w:sz w:val="19"/>
                <w:szCs w:val="19"/>
                <w:lang w:eastAsia="en-AU"/>
              </w:rPr>
              <w:t>N/A</w:t>
            </w:r>
          </w:p>
        </w:tc>
        <w:tc>
          <w:tcPr>
            <w:tcW w:w="514" w:type="pct"/>
            <w:tcBorders>
              <w:top w:val="single" w:sz="4" w:space="0" w:color="auto"/>
              <w:left w:val="nil"/>
              <w:bottom w:val="single" w:sz="4" w:space="0" w:color="auto"/>
              <w:right w:val="single" w:sz="4" w:space="0" w:color="auto"/>
            </w:tcBorders>
            <w:vAlign w:val="top"/>
            <w:hideMark/>
          </w:tcPr>
          <w:p w14:paraId="5F8167A2" w14:textId="77777777" w:rsidR="00030303" w:rsidRPr="00DB2B77" w:rsidRDefault="00030303" w:rsidP="00030303">
            <w:pPr>
              <w:spacing w:before="60" w:after="60" w:line="240" w:lineRule="atLeast"/>
              <w:rPr>
                <w:rFonts w:asciiTheme="minorHAnsi" w:eastAsia="Times New Roman" w:hAnsiTheme="minorHAnsi" w:cstheme="minorHAnsi"/>
                <w:b/>
                <w:w w:val="100"/>
                <w:kern w:val="0"/>
                <w:sz w:val="19"/>
                <w:szCs w:val="19"/>
                <w:lang w:eastAsia="en-AU"/>
              </w:rPr>
            </w:pPr>
            <w:r w:rsidRPr="00DB2B77">
              <w:rPr>
                <w:rFonts w:asciiTheme="minorHAnsi" w:eastAsia="Times New Roman" w:hAnsiTheme="minorHAnsi" w:cstheme="minorHAnsi"/>
                <w:w w:val="100"/>
                <w:kern w:val="0"/>
                <w:sz w:val="19"/>
                <w:szCs w:val="19"/>
                <w:lang w:eastAsia="en-AU"/>
              </w:rPr>
              <w:t>Any witness examined or cross-examined by a legal representative before a Commission has the same protection, and is subject to the same liabilities, as if examined by a Commissioner (s 22).</w:t>
            </w:r>
          </w:p>
        </w:tc>
      </w:tr>
      <w:tr w:rsidR="00030303" w:rsidRPr="00DB2B77" w14:paraId="63C3AC50" w14:textId="77777777" w:rsidTr="00030303">
        <w:tc>
          <w:tcPr>
            <w:tcW w:w="467" w:type="pct"/>
            <w:tcBorders>
              <w:top w:val="single" w:sz="4" w:space="0" w:color="auto"/>
              <w:left w:val="single" w:sz="4" w:space="0" w:color="auto"/>
              <w:bottom w:val="single" w:sz="4" w:space="0" w:color="auto"/>
              <w:right w:val="nil"/>
            </w:tcBorders>
            <w:vAlign w:val="top"/>
            <w:hideMark/>
          </w:tcPr>
          <w:p w14:paraId="5AA3E47A" w14:textId="77777777" w:rsidR="00030303" w:rsidRPr="00DB2B77" w:rsidRDefault="00030303" w:rsidP="00030303">
            <w:pPr>
              <w:spacing w:before="60" w:after="60" w:line="240" w:lineRule="atLeast"/>
              <w:rPr>
                <w:rFonts w:asciiTheme="minorHAnsi" w:eastAsia="Times New Roman" w:hAnsiTheme="minorHAnsi" w:cstheme="minorHAnsi"/>
                <w:b/>
                <w:w w:val="100"/>
                <w:kern w:val="0"/>
                <w:sz w:val="19"/>
                <w:szCs w:val="19"/>
                <w:lang w:eastAsia="en-AU"/>
              </w:rPr>
            </w:pPr>
            <w:r w:rsidRPr="00DB2B77">
              <w:rPr>
                <w:rFonts w:asciiTheme="minorHAnsi" w:eastAsia="Times New Roman" w:hAnsiTheme="minorHAnsi" w:cstheme="minorHAnsi"/>
                <w:b/>
                <w:w w:val="100"/>
                <w:kern w:val="0"/>
                <w:sz w:val="19"/>
                <w:szCs w:val="19"/>
                <w:lang w:eastAsia="en-AU"/>
              </w:rPr>
              <w:t>Protections for others engaging with a Commission</w:t>
            </w:r>
          </w:p>
        </w:tc>
        <w:tc>
          <w:tcPr>
            <w:tcW w:w="503" w:type="pct"/>
            <w:tcBorders>
              <w:top w:val="single" w:sz="4" w:space="0" w:color="auto"/>
              <w:left w:val="nil"/>
              <w:bottom w:val="single" w:sz="4" w:space="0" w:color="auto"/>
              <w:right w:val="nil"/>
            </w:tcBorders>
            <w:shd w:val="clear" w:color="auto" w:fill="D9D9D9"/>
            <w:vAlign w:val="top"/>
            <w:hideMark/>
          </w:tcPr>
          <w:p w14:paraId="5C810E36" w14:textId="77777777" w:rsidR="00030303" w:rsidRPr="00DB2B77" w:rsidRDefault="00030303" w:rsidP="00030303">
            <w:pPr>
              <w:spacing w:before="60" w:after="60" w:line="240" w:lineRule="atLeast"/>
              <w:rPr>
                <w:rFonts w:asciiTheme="minorHAnsi" w:eastAsia="Times New Roman" w:hAnsiTheme="minorHAnsi" w:cstheme="minorHAnsi"/>
                <w:w w:val="100"/>
                <w:kern w:val="0"/>
                <w:sz w:val="19"/>
                <w:szCs w:val="19"/>
                <w:lang w:eastAsia="en-AU"/>
              </w:rPr>
            </w:pPr>
            <w:r w:rsidRPr="00DB2B77">
              <w:rPr>
                <w:rFonts w:asciiTheme="minorHAnsi" w:eastAsia="Times New Roman" w:hAnsiTheme="minorHAnsi" w:cstheme="minorHAnsi"/>
                <w:w w:val="100"/>
                <w:kern w:val="0"/>
                <w:sz w:val="19"/>
                <w:szCs w:val="19"/>
                <w:lang w:eastAsia="en-AU"/>
              </w:rPr>
              <w:t xml:space="preserve">Any person who appears, or is authorised to be present, at a private session </w:t>
            </w:r>
            <w:r w:rsidRPr="00DB2B77">
              <w:rPr>
                <w:rFonts w:asciiTheme="minorHAnsi" w:eastAsia="Times New Roman" w:hAnsiTheme="minorHAnsi" w:cstheme="minorHAnsi"/>
                <w:w w:val="100"/>
                <w:kern w:val="0"/>
                <w:sz w:val="19"/>
                <w:szCs w:val="19"/>
                <w:lang w:eastAsia="en-AU"/>
              </w:rPr>
              <w:lastRenderedPageBreak/>
              <w:t>has the same protection, and is to subject to the same liabilities in any civil or criminal proceeding, as a witness in any case tried in the High Court (6</w:t>
            </w:r>
            <w:proofErr w:type="gramStart"/>
            <w:r w:rsidRPr="00DB2B77">
              <w:rPr>
                <w:rFonts w:asciiTheme="minorHAnsi" w:eastAsia="Times New Roman" w:hAnsiTheme="minorHAnsi" w:cstheme="minorHAnsi"/>
                <w:w w:val="100"/>
                <w:kern w:val="0"/>
                <w:sz w:val="19"/>
                <w:szCs w:val="19"/>
                <w:lang w:eastAsia="en-AU"/>
              </w:rPr>
              <w:t>OF(</w:t>
            </w:r>
            <w:proofErr w:type="gramEnd"/>
            <w:r w:rsidRPr="00DB2B77">
              <w:rPr>
                <w:rFonts w:asciiTheme="minorHAnsi" w:eastAsia="Times New Roman" w:hAnsiTheme="minorHAnsi" w:cstheme="minorHAnsi"/>
                <w:w w:val="100"/>
                <w:kern w:val="0"/>
                <w:sz w:val="19"/>
                <w:szCs w:val="19"/>
                <w:lang w:eastAsia="en-AU"/>
              </w:rPr>
              <w:t>1)).</w:t>
            </w:r>
          </w:p>
        </w:tc>
        <w:tc>
          <w:tcPr>
            <w:tcW w:w="504" w:type="pct"/>
            <w:tcBorders>
              <w:top w:val="single" w:sz="4" w:space="0" w:color="auto"/>
              <w:left w:val="nil"/>
              <w:bottom w:val="single" w:sz="4" w:space="0" w:color="auto"/>
              <w:right w:val="nil"/>
            </w:tcBorders>
            <w:vAlign w:val="top"/>
            <w:hideMark/>
          </w:tcPr>
          <w:p w14:paraId="5E0B220E" w14:textId="77777777" w:rsidR="00030303" w:rsidRPr="00DB2B77" w:rsidRDefault="00030303" w:rsidP="00030303">
            <w:pPr>
              <w:spacing w:before="60" w:after="60" w:line="240" w:lineRule="atLeast"/>
              <w:rPr>
                <w:rFonts w:asciiTheme="minorHAnsi" w:eastAsia="Times New Roman" w:hAnsiTheme="minorHAnsi" w:cstheme="minorHAnsi"/>
                <w:w w:val="100"/>
                <w:kern w:val="0"/>
                <w:sz w:val="19"/>
                <w:szCs w:val="19"/>
                <w:lang w:eastAsia="en-AU"/>
              </w:rPr>
            </w:pPr>
            <w:r w:rsidRPr="00DB2B77">
              <w:rPr>
                <w:rFonts w:asciiTheme="minorHAnsi" w:eastAsia="Times New Roman" w:hAnsiTheme="minorHAnsi" w:cstheme="minorHAnsi"/>
                <w:w w:val="100"/>
                <w:kern w:val="0"/>
                <w:sz w:val="19"/>
                <w:szCs w:val="19"/>
                <w:lang w:eastAsia="en-AU"/>
              </w:rPr>
              <w:lastRenderedPageBreak/>
              <w:t>N/A</w:t>
            </w:r>
          </w:p>
        </w:tc>
        <w:tc>
          <w:tcPr>
            <w:tcW w:w="504" w:type="pct"/>
            <w:tcBorders>
              <w:top w:val="single" w:sz="4" w:space="0" w:color="auto"/>
              <w:left w:val="nil"/>
              <w:bottom w:val="single" w:sz="4" w:space="0" w:color="auto"/>
              <w:right w:val="nil"/>
            </w:tcBorders>
            <w:vAlign w:val="top"/>
            <w:hideMark/>
          </w:tcPr>
          <w:p w14:paraId="6C265743" w14:textId="77777777" w:rsidR="00030303" w:rsidRPr="00DB2B77" w:rsidRDefault="00030303" w:rsidP="00030303">
            <w:pPr>
              <w:spacing w:before="60" w:after="60" w:line="240" w:lineRule="atLeast"/>
              <w:rPr>
                <w:rFonts w:asciiTheme="minorHAnsi" w:eastAsia="Times New Roman" w:hAnsiTheme="minorHAnsi" w:cstheme="minorHAnsi"/>
                <w:w w:val="100"/>
                <w:kern w:val="0"/>
                <w:sz w:val="19"/>
                <w:szCs w:val="19"/>
                <w:lang w:eastAsia="en-AU"/>
              </w:rPr>
            </w:pPr>
            <w:r w:rsidRPr="00DB2B77">
              <w:rPr>
                <w:rFonts w:asciiTheme="minorHAnsi" w:eastAsia="Times New Roman" w:hAnsiTheme="minorHAnsi" w:cstheme="minorHAnsi"/>
                <w:w w:val="100"/>
                <w:kern w:val="0"/>
                <w:sz w:val="19"/>
                <w:szCs w:val="19"/>
                <w:lang w:eastAsia="en-AU"/>
              </w:rPr>
              <w:t xml:space="preserve">A person who voluntarily provides a document or other thing or </w:t>
            </w:r>
            <w:r w:rsidRPr="00DB2B77">
              <w:rPr>
                <w:rFonts w:asciiTheme="minorHAnsi" w:eastAsia="Times New Roman" w:hAnsiTheme="minorHAnsi" w:cstheme="minorHAnsi"/>
                <w:w w:val="100"/>
                <w:kern w:val="0"/>
                <w:sz w:val="19"/>
                <w:szCs w:val="19"/>
                <w:lang w:eastAsia="en-AU"/>
              </w:rPr>
              <w:lastRenderedPageBreak/>
              <w:t>information to a Commission has the same protection, and is subject to the same liabilities in any civil or criminal proceeding, as a witness in any case tried in the Supreme Court (s 11(3) and (4)).</w:t>
            </w:r>
          </w:p>
        </w:tc>
        <w:tc>
          <w:tcPr>
            <w:tcW w:w="504" w:type="pct"/>
            <w:tcBorders>
              <w:top w:val="single" w:sz="4" w:space="0" w:color="auto"/>
              <w:left w:val="nil"/>
              <w:bottom w:val="single" w:sz="4" w:space="0" w:color="auto"/>
              <w:right w:val="nil"/>
            </w:tcBorders>
            <w:vAlign w:val="top"/>
            <w:hideMark/>
          </w:tcPr>
          <w:p w14:paraId="15EE9FED" w14:textId="77777777" w:rsidR="00030303" w:rsidRPr="00DB2B77" w:rsidRDefault="00030303" w:rsidP="00030303">
            <w:pPr>
              <w:spacing w:before="60" w:after="60" w:line="240" w:lineRule="atLeast"/>
              <w:rPr>
                <w:rFonts w:asciiTheme="minorHAnsi" w:eastAsia="Times New Roman" w:hAnsiTheme="minorHAnsi" w:cstheme="minorHAnsi"/>
                <w:b/>
                <w:w w:val="100"/>
                <w:kern w:val="0"/>
                <w:sz w:val="19"/>
                <w:szCs w:val="19"/>
                <w:lang w:eastAsia="en-AU"/>
              </w:rPr>
            </w:pPr>
            <w:r w:rsidRPr="00DB2B77">
              <w:rPr>
                <w:rFonts w:asciiTheme="minorHAnsi" w:eastAsia="Times New Roman" w:hAnsiTheme="minorHAnsi" w:cstheme="minorHAnsi"/>
                <w:w w:val="100"/>
                <w:kern w:val="0"/>
                <w:sz w:val="19"/>
                <w:szCs w:val="19"/>
                <w:lang w:eastAsia="en-AU"/>
              </w:rPr>
              <w:lastRenderedPageBreak/>
              <w:t>N/A</w:t>
            </w:r>
          </w:p>
        </w:tc>
        <w:tc>
          <w:tcPr>
            <w:tcW w:w="509" w:type="pct"/>
            <w:tcBorders>
              <w:top w:val="single" w:sz="4" w:space="0" w:color="auto"/>
              <w:left w:val="nil"/>
              <w:bottom w:val="single" w:sz="4" w:space="0" w:color="auto"/>
              <w:right w:val="nil"/>
            </w:tcBorders>
            <w:vAlign w:val="top"/>
            <w:hideMark/>
          </w:tcPr>
          <w:p w14:paraId="7E7A00DD" w14:textId="77777777" w:rsidR="00030303" w:rsidRPr="00DB2B77" w:rsidRDefault="00030303" w:rsidP="00030303">
            <w:pPr>
              <w:spacing w:before="60" w:after="60" w:line="240" w:lineRule="atLeast"/>
              <w:rPr>
                <w:rFonts w:asciiTheme="minorHAnsi" w:eastAsia="Times New Roman" w:hAnsiTheme="minorHAnsi" w:cstheme="minorHAnsi"/>
                <w:b/>
                <w:w w:val="100"/>
                <w:kern w:val="0"/>
                <w:sz w:val="19"/>
                <w:szCs w:val="19"/>
                <w:lang w:eastAsia="en-AU"/>
              </w:rPr>
            </w:pPr>
            <w:r w:rsidRPr="00DB2B77">
              <w:rPr>
                <w:rFonts w:asciiTheme="minorHAnsi" w:eastAsia="Times New Roman" w:hAnsiTheme="minorHAnsi" w:cstheme="minorHAnsi"/>
                <w:w w:val="100"/>
                <w:kern w:val="0"/>
                <w:sz w:val="19"/>
                <w:szCs w:val="19"/>
                <w:lang w:eastAsia="en-AU"/>
              </w:rPr>
              <w:t>N/A</w:t>
            </w:r>
          </w:p>
        </w:tc>
        <w:tc>
          <w:tcPr>
            <w:tcW w:w="514" w:type="pct"/>
            <w:tcBorders>
              <w:top w:val="single" w:sz="4" w:space="0" w:color="auto"/>
              <w:left w:val="nil"/>
              <w:bottom w:val="single" w:sz="4" w:space="0" w:color="auto"/>
              <w:right w:val="nil"/>
            </w:tcBorders>
            <w:vAlign w:val="top"/>
            <w:hideMark/>
          </w:tcPr>
          <w:p w14:paraId="29802036" w14:textId="77777777" w:rsidR="00030303" w:rsidRPr="00DB2B77" w:rsidRDefault="00030303" w:rsidP="00030303">
            <w:pPr>
              <w:spacing w:before="60" w:after="60" w:line="240" w:lineRule="atLeast"/>
              <w:rPr>
                <w:rFonts w:asciiTheme="minorHAnsi" w:eastAsia="Times New Roman" w:hAnsiTheme="minorHAnsi" w:cstheme="minorHAnsi"/>
                <w:w w:val="100"/>
                <w:kern w:val="0"/>
                <w:sz w:val="19"/>
                <w:szCs w:val="19"/>
                <w:lang w:eastAsia="en-AU"/>
              </w:rPr>
            </w:pPr>
            <w:r w:rsidRPr="00DB2B77">
              <w:rPr>
                <w:rFonts w:asciiTheme="minorHAnsi" w:eastAsia="Times New Roman" w:hAnsiTheme="minorHAnsi" w:cstheme="minorHAnsi"/>
                <w:w w:val="100"/>
                <w:kern w:val="0"/>
                <w:sz w:val="19"/>
                <w:szCs w:val="19"/>
                <w:lang w:eastAsia="en-AU"/>
              </w:rPr>
              <w:t>N/A</w:t>
            </w:r>
          </w:p>
        </w:tc>
        <w:tc>
          <w:tcPr>
            <w:tcW w:w="504" w:type="pct"/>
            <w:tcBorders>
              <w:top w:val="single" w:sz="4" w:space="0" w:color="auto"/>
              <w:left w:val="nil"/>
              <w:bottom w:val="single" w:sz="4" w:space="0" w:color="auto"/>
              <w:right w:val="nil"/>
            </w:tcBorders>
            <w:vAlign w:val="top"/>
            <w:hideMark/>
          </w:tcPr>
          <w:p w14:paraId="33609042" w14:textId="77777777" w:rsidR="00030303" w:rsidRPr="00DB2B77" w:rsidRDefault="00030303" w:rsidP="00030303">
            <w:pPr>
              <w:spacing w:before="60" w:after="60" w:line="240" w:lineRule="atLeast"/>
              <w:rPr>
                <w:rFonts w:asciiTheme="minorHAnsi" w:eastAsia="Times New Roman" w:hAnsiTheme="minorHAnsi" w:cstheme="minorHAnsi"/>
                <w:w w:val="100"/>
                <w:kern w:val="0"/>
                <w:sz w:val="19"/>
                <w:szCs w:val="19"/>
                <w:lang w:eastAsia="en-AU"/>
              </w:rPr>
            </w:pPr>
            <w:r w:rsidRPr="00DB2B77">
              <w:rPr>
                <w:rFonts w:asciiTheme="minorHAnsi" w:eastAsia="Times New Roman" w:hAnsiTheme="minorHAnsi" w:cstheme="minorHAnsi"/>
                <w:w w:val="100"/>
                <w:kern w:val="0"/>
                <w:sz w:val="19"/>
                <w:szCs w:val="19"/>
                <w:lang w:eastAsia="en-AU"/>
              </w:rPr>
              <w:t xml:space="preserve">A person who appears, or is authorised to be, at a </w:t>
            </w:r>
            <w:r w:rsidRPr="00DB2B77">
              <w:rPr>
                <w:rFonts w:asciiTheme="minorHAnsi" w:eastAsia="Times New Roman" w:hAnsiTheme="minorHAnsi" w:cstheme="minorHAnsi"/>
                <w:w w:val="100"/>
                <w:kern w:val="0"/>
                <w:sz w:val="19"/>
                <w:szCs w:val="19"/>
                <w:lang w:eastAsia="en-AU"/>
              </w:rPr>
              <w:lastRenderedPageBreak/>
              <w:t>private session has the same protection and immunity, and is subject to the same liabilities in respect of any civil or criminal proceedings, as a witness has in a case tried in the Supreme Court (s 19</w:t>
            </w:r>
            <w:proofErr w:type="gramStart"/>
            <w:r w:rsidRPr="00DB2B77">
              <w:rPr>
                <w:rFonts w:asciiTheme="minorHAnsi" w:eastAsia="Times New Roman" w:hAnsiTheme="minorHAnsi" w:cstheme="minorHAnsi"/>
                <w:w w:val="100"/>
                <w:kern w:val="0"/>
                <w:sz w:val="19"/>
                <w:szCs w:val="19"/>
                <w:lang w:eastAsia="en-AU"/>
              </w:rPr>
              <w:t>B(</w:t>
            </w:r>
            <w:proofErr w:type="gramEnd"/>
            <w:r w:rsidRPr="00DB2B77">
              <w:rPr>
                <w:rFonts w:asciiTheme="minorHAnsi" w:eastAsia="Times New Roman" w:hAnsiTheme="minorHAnsi" w:cstheme="minorHAnsi"/>
                <w:w w:val="100"/>
                <w:kern w:val="0"/>
                <w:sz w:val="19"/>
                <w:szCs w:val="19"/>
                <w:lang w:eastAsia="en-AU"/>
              </w:rPr>
              <w:t>2)).</w:t>
            </w:r>
          </w:p>
        </w:tc>
        <w:tc>
          <w:tcPr>
            <w:tcW w:w="477" w:type="pct"/>
            <w:tcBorders>
              <w:top w:val="single" w:sz="4" w:space="0" w:color="auto"/>
              <w:left w:val="nil"/>
              <w:bottom w:val="single" w:sz="4" w:space="0" w:color="auto"/>
              <w:right w:val="nil"/>
            </w:tcBorders>
            <w:vAlign w:val="top"/>
            <w:hideMark/>
          </w:tcPr>
          <w:p w14:paraId="1A8B093F" w14:textId="77777777" w:rsidR="00030303" w:rsidRPr="00DB2B77" w:rsidRDefault="00030303" w:rsidP="00030303">
            <w:pPr>
              <w:spacing w:before="60" w:after="60" w:line="240" w:lineRule="atLeast"/>
              <w:rPr>
                <w:rFonts w:asciiTheme="minorHAnsi" w:eastAsia="Times New Roman" w:hAnsiTheme="minorHAnsi" w:cstheme="minorHAnsi"/>
                <w:w w:val="100"/>
                <w:kern w:val="0"/>
                <w:sz w:val="19"/>
                <w:szCs w:val="19"/>
                <w:lang w:eastAsia="en-AU"/>
              </w:rPr>
            </w:pPr>
            <w:r w:rsidRPr="00DB2B77">
              <w:rPr>
                <w:rFonts w:asciiTheme="minorHAnsi" w:eastAsia="Times New Roman" w:hAnsiTheme="minorHAnsi" w:cstheme="minorHAnsi"/>
                <w:w w:val="100"/>
                <w:kern w:val="0"/>
                <w:sz w:val="19"/>
                <w:szCs w:val="19"/>
                <w:lang w:eastAsia="en-AU"/>
              </w:rPr>
              <w:lastRenderedPageBreak/>
              <w:t xml:space="preserve">A person who gives information or evidence, or produces </w:t>
            </w:r>
            <w:r w:rsidRPr="00DB2B77">
              <w:rPr>
                <w:rFonts w:asciiTheme="minorHAnsi" w:eastAsia="Times New Roman" w:hAnsiTheme="minorHAnsi" w:cstheme="minorHAnsi"/>
                <w:w w:val="100"/>
                <w:kern w:val="0"/>
                <w:sz w:val="19"/>
                <w:szCs w:val="19"/>
                <w:lang w:eastAsia="en-AU"/>
              </w:rPr>
              <w:lastRenderedPageBreak/>
              <w:t>a document or other thing, to a Royal Commission has the same protection and immunity as a witness has in proceedings in the Supreme Court (s 39(4)).</w:t>
            </w:r>
          </w:p>
          <w:p w14:paraId="62EE847C" w14:textId="77777777" w:rsidR="00030303" w:rsidRPr="00DB2B77" w:rsidRDefault="00030303" w:rsidP="00030303">
            <w:pPr>
              <w:spacing w:before="60" w:after="60" w:line="240" w:lineRule="atLeast"/>
              <w:rPr>
                <w:rFonts w:asciiTheme="minorHAnsi" w:eastAsia="Times New Roman" w:hAnsiTheme="minorHAnsi" w:cstheme="minorHAnsi"/>
                <w:w w:val="100"/>
                <w:kern w:val="0"/>
                <w:sz w:val="19"/>
                <w:szCs w:val="19"/>
                <w:lang w:eastAsia="en-AU"/>
              </w:rPr>
            </w:pPr>
            <w:r w:rsidRPr="00DB2B77">
              <w:rPr>
                <w:rFonts w:asciiTheme="minorHAnsi" w:eastAsia="Times New Roman" w:hAnsiTheme="minorHAnsi" w:cstheme="minorHAnsi"/>
                <w:w w:val="100"/>
                <w:kern w:val="0"/>
                <w:sz w:val="19"/>
                <w:szCs w:val="19"/>
                <w:lang w:eastAsia="en-AU"/>
              </w:rPr>
              <w:t>Equivalent provisions apply in respect of Boards of Inquiry (s 79) and Formal Reviews (s 111).</w:t>
            </w:r>
          </w:p>
        </w:tc>
        <w:tc>
          <w:tcPr>
            <w:tcW w:w="514" w:type="pct"/>
            <w:tcBorders>
              <w:top w:val="single" w:sz="4" w:space="0" w:color="auto"/>
              <w:left w:val="nil"/>
              <w:bottom w:val="single" w:sz="4" w:space="0" w:color="auto"/>
              <w:right w:val="single" w:sz="4" w:space="0" w:color="auto"/>
            </w:tcBorders>
            <w:vAlign w:val="top"/>
            <w:hideMark/>
          </w:tcPr>
          <w:p w14:paraId="735D77A3" w14:textId="77777777" w:rsidR="00030303" w:rsidRPr="00DB2B77" w:rsidRDefault="00030303" w:rsidP="00030303">
            <w:pPr>
              <w:spacing w:before="60" w:after="60" w:line="240" w:lineRule="atLeast"/>
              <w:rPr>
                <w:rFonts w:asciiTheme="minorHAnsi" w:eastAsia="Times New Roman" w:hAnsiTheme="minorHAnsi" w:cstheme="minorHAnsi"/>
                <w:b/>
                <w:w w:val="100"/>
                <w:kern w:val="0"/>
                <w:sz w:val="19"/>
                <w:szCs w:val="19"/>
                <w:lang w:eastAsia="en-AU"/>
              </w:rPr>
            </w:pPr>
            <w:r w:rsidRPr="00DB2B77">
              <w:rPr>
                <w:rFonts w:asciiTheme="minorHAnsi" w:eastAsia="Times New Roman" w:hAnsiTheme="minorHAnsi" w:cstheme="minorHAnsi"/>
                <w:w w:val="100"/>
                <w:kern w:val="0"/>
                <w:sz w:val="19"/>
                <w:szCs w:val="19"/>
                <w:lang w:eastAsia="en-AU"/>
              </w:rPr>
              <w:lastRenderedPageBreak/>
              <w:t>N/A</w:t>
            </w:r>
          </w:p>
        </w:tc>
      </w:tr>
      <w:tr w:rsidR="00030303" w:rsidRPr="00DB2B77" w14:paraId="50C88065" w14:textId="77777777" w:rsidTr="00030303">
        <w:tc>
          <w:tcPr>
            <w:tcW w:w="467" w:type="pct"/>
            <w:tcBorders>
              <w:top w:val="single" w:sz="4" w:space="0" w:color="auto"/>
              <w:left w:val="single" w:sz="4" w:space="0" w:color="auto"/>
              <w:bottom w:val="single" w:sz="4" w:space="0" w:color="auto"/>
              <w:right w:val="nil"/>
            </w:tcBorders>
            <w:vAlign w:val="top"/>
            <w:hideMark/>
          </w:tcPr>
          <w:p w14:paraId="64B65BE4" w14:textId="77777777" w:rsidR="00030303" w:rsidRPr="00DB2B77" w:rsidRDefault="00030303" w:rsidP="00030303">
            <w:pPr>
              <w:spacing w:before="60" w:after="60" w:line="240" w:lineRule="atLeast"/>
              <w:rPr>
                <w:rFonts w:asciiTheme="minorHAnsi" w:eastAsia="Times New Roman" w:hAnsiTheme="minorHAnsi" w:cstheme="minorHAnsi"/>
                <w:b/>
                <w:w w:val="100"/>
                <w:kern w:val="0"/>
                <w:sz w:val="19"/>
                <w:szCs w:val="19"/>
                <w:lang w:eastAsia="en-AU"/>
              </w:rPr>
            </w:pPr>
            <w:r w:rsidRPr="00DB2B77">
              <w:rPr>
                <w:rFonts w:asciiTheme="minorHAnsi" w:eastAsia="Times New Roman" w:hAnsiTheme="minorHAnsi" w:cstheme="minorHAnsi"/>
                <w:b/>
                <w:w w:val="100"/>
                <w:kern w:val="0"/>
                <w:sz w:val="19"/>
                <w:szCs w:val="19"/>
                <w:lang w:eastAsia="en-AU"/>
              </w:rPr>
              <w:t xml:space="preserve">Statements made by witnesses not admissible in </w:t>
            </w:r>
            <w:r w:rsidRPr="00DB2B77">
              <w:rPr>
                <w:rFonts w:asciiTheme="minorHAnsi" w:eastAsia="Times New Roman" w:hAnsiTheme="minorHAnsi" w:cstheme="minorHAnsi"/>
                <w:b/>
                <w:w w:val="100"/>
                <w:kern w:val="0"/>
                <w:sz w:val="19"/>
                <w:szCs w:val="19"/>
                <w:lang w:eastAsia="en-AU"/>
              </w:rPr>
              <w:lastRenderedPageBreak/>
              <w:t>evidence in other proceedings</w:t>
            </w:r>
            <w:r w:rsidRPr="00DB2B77">
              <w:rPr>
                <w:rFonts w:asciiTheme="minorHAnsi" w:eastAsia="Times New Roman" w:hAnsiTheme="minorHAnsi" w:cstheme="minorHAnsi"/>
                <w:b/>
                <w:w w:val="100"/>
                <w:kern w:val="0"/>
                <w:sz w:val="19"/>
                <w:szCs w:val="19"/>
                <w:vertAlign w:val="superscript"/>
                <w:lang w:eastAsia="en-AU"/>
              </w:rPr>
              <w:footnoteReference w:id="32"/>
            </w:r>
          </w:p>
        </w:tc>
        <w:tc>
          <w:tcPr>
            <w:tcW w:w="503" w:type="pct"/>
            <w:tcBorders>
              <w:top w:val="single" w:sz="4" w:space="0" w:color="auto"/>
              <w:left w:val="nil"/>
              <w:bottom w:val="single" w:sz="4" w:space="0" w:color="auto"/>
              <w:right w:val="nil"/>
            </w:tcBorders>
            <w:shd w:val="clear" w:color="auto" w:fill="D9D9D9"/>
            <w:vAlign w:val="top"/>
          </w:tcPr>
          <w:p w14:paraId="42F02A12" w14:textId="77777777" w:rsidR="00030303" w:rsidRPr="00DB2B77" w:rsidRDefault="00030303" w:rsidP="00030303">
            <w:pPr>
              <w:spacing w:before="60" w:after="60" w:line="240" w:lineRule="atLeast"/>
              <w:rPr>
                <w:rFonts w:asciiTheme="minorHAnsi" w:eastAsia="Times New Roman" w:hAnsiTheme="minorHAnsi" w:cstheme="minorHAnsi"/>
                <w:w w:val="100"/>
                <w:kern w:val="0"/>
                <w:sz w:val="19"/>
                <w:szCs w:val="19"/>
                <w:lang w:eastAsia="en-AU"/>
              </w:rPr>
            </w:pPr>
            <w:r w:rsidRPr="00DB2B77">
              <w:rPr>
                <w:rFonts w:asciiTheme="minorHAnsi" w:eastAsia="Times New Roman" w:hAnsiTheme="minorHAnsi" w:cstheme="minorHAnsi"/>
                <w:w w:val="100"/>
                <w:kern w:val="0"/>
                <w:sz w:val="19"/>
                <w:szCs w:val="19"/>
                <w:lang w:eastAsia="en-AU"/>
              </w:rPr>
              <w:lastRenderedPageBreak/>
              <w:t xml:space="preserve">A statement or disclosure made by a natural person in the course of giving </w:t>
            </w:r>
            <w:r w:rsidRPr="00DB2B77">
              <w:rPr>
                <w:rFonts w:asciiTheme="minorHAnsi" w:eastAsia="Times New Roman" w:hAnsiTheme="minorHAnsi" w:cstheme="minorHAnsi"/>
                <w:w w:val="100"/>
                <w:kern w:val="0"/>
                <w:sz w:val="19"/>
                <w:szCs w:val="19"/>
                <w:lang w:eastAsia="en-AU"/>
              </w:rPr>
              <w:lastRenderedPageBreak/>
              <w:t xml:space="preserve">evidence before a Commission or in writing in response to a notice, or the production of a document or other thing pursuant to a summons, requirement or notice, is not admissible in evidence against the person in any civil or criminal proceedings in a Commonwealth, State or Territory court (s 6DD(1)), except in proceedings for an offence against the Act (s 6DD(2)). </w:t>
            </w:r>
          </w:p>
          <w:p w14:paraId="128AD221" w14:textId="77777777" w:rsidR="00030303" w:rsidRPr="00DB2B77" w:rsidRDefault="00030303" w:rsidP="00030303">
            <w:pPr>
              <w:spacing w:before="60" w:after="60" w:line="240" w:lineRule="atLeast"/>
              <w:rPr>
                <w:rFonts w:asciiTheme="minorHAnsi" w:eastAsia="Times New Roman" w:hAnsiTheme="minorHAnsi" w:cstheme="minorHAnsi"/>
                <w:w w:val="100"/>
                <w:kern w:val="0"/>
                <w:sz w:val="19"/>
                <w:szCs w:val="19"/>
                <w:lang w:eastAsia="en-AU"/>
              </w:rPr>
            </w:pPr>
          </w:p>
          <w:p w14:paraId="72ABEA71" w14:textId="77777777" w:rsidR="00030303" w:rsidRPr="00DB2B77" w:rsidRDefault="00030303" w:rsidP="00030303">
            <w:pPr>
              <w:spacing w:before="60" w:after="60" w:line="240" w:lineRule="atLeast"/>
              <w:rPr>
                <w:rFonts w:asciiTheme="minorHAnsi" w:eastAsia="Times New Roman" w:hAnsiTheme="minorHAnsi" w:cstheme="minorHAnsi"/>
                <w:w w:val="100"/>
                <w:kern w:val="0"/>
                <w:sz w:val="19"/>
                <w:szCs w:val="19"/>
                <w:lang w:eastAsia="en-AU"/>
              </w:rPr>
            </w:pPr>
            <w:r w:rsidRPr="00DB2B77">
              <w:rPr>
                <w:rFonts w:asciiTheme="minorHAnsi" w:eastAsia="Times New Roman" w:hAnsiTheme="minorHAnsi" w:cstheme="minorHAnsi"/>
                <w:w w:val="100"/>
                <w:kern w:val="0"/>
                <w:sz w:val="19"/>
                <w:szCs w:val="19"/>
                <w:lang w:eastAsia="en-AU"/>
              </w:rPr>
              <w:t>The same protection is given to persons giving evidence under the law of another country or outside Australia (s 7C).</w:t>
            </w:r>
          </w:p>
        </w:tc>
        <w:tc>
          <w:tcPr>
            <w:tcW w:w="504" w:type="pct"/>
            <w:tcBorders>
              <w:top w:val="single" w:sz="4" w:space="0" w:color="auto"/>
              <w:left w:val="nil"/>
              <w:bottom w:val="single" w:sz="4" w:space="0" w:color="auto"/>
              <w:right w:val="nil"/>
            </w:tcBorders>
            <w:vAlign w:val="top"/>
            <w:hideMark/>
          </w:tcPr>
          <w:p w14:paraId="484DE291" w14:textId="77777777" w:rsidR="00030303" w:rsidRPr="00DB2B77" w:rsidRDefault="00030303" w:rsidP="00030303">
            <w:pPr>
              <w:spacing w:before="60" w:after="60" w:line="240" w:lineRule="atLeast"/>
              <w:rPr>
                <w:rFonts w:asciiTheme="minorHAnsi" w:eastAsia="Times New Roman" w:hAnsiTheme="minorHAnsi" w:cstheme="minorHAnsi"/>
                <w:b/>
                <w:w w:val="100"/>
                <w:kern w:val="0"/>
                <w:sz w:val="19"/>
                <w:szCs w:val="19"/>
                <w:lang w:eastAsia="en-AU"/>
              </w:rPr>
            </w:pPr>
            <w:r w:rsidRPr="00DB2B77">
              <w:rPr>
                <w:rFonts w:asciiTheme="minorHAnsi" w:eastAsia="Times New Roman" w:hAnsiTheme="minorHAnsi" w:cstheme="minorHAnsi"/>
                <w:w w:val="100"/>
                <w:kern w:val="0"/>
                <w:sz w:val="19"/>
                <w:szCs w:val="19"/>
                <w:lang w:eastAsia="en-AU"/>
              </w:rPr>
              <w:lastRenderedPageBreak/>
              <w:t xml:space="preserve">Any information, document or other thing obtained </w:t>
            </w:r>
            <w:r w:rsidRPr="00DB2B77">
              <w:rPr>
                <w:rFonts w:asciiTheme="minorHAnsi" w:eastAsia="Times New Roman" w:hAnsiTheme="minorHAnsi" w:cstheme="minorHAnsi"/>
                <w:w w:val="100"/>
                <w:kern w:val="0"/>
                <w:sz w:val="19"/>
                <w:szCs w:val="19"/>
                <w:lang w:eastAsia="en-AU"/>
              </w:rPr>
              <w:lastRenderedPageBreak/>
              <w:t>under a subpoena is not admissible in evidence against the person in a civil or criminal proceeding, except in certain circumstances including in offence proceedings relating to an administration of justice offence (</w:t>
            </w:r>
            <w:r w:rsidRPr="00DB2B77">
              <w:rPr>
                <w:rFonts w:asciiTheme="minorHAnsi" w:eastAsia="Times New Roman" w:hAnsiTheme="minorHAnsi" w:cstheme="minorHAnsi"/>
                <w:i/>
                <w:w w:val="100"/>
                <w:kern w:val="0"/>
                <w:sz w:val="19"/>
                <w:szCs w:val="19"/>
                <w:lang w:eastAsia="en-AU"/>
              </w:rPr>
              <w:t xml:space="preserve">Criminal Code 2002 </w:t>
            </w:r>
            <w:r w:rsidRPr="00DB2B77">
              <w:rPr>
                <w:rFonts w:asciiTheme="minorHAnsi" w:eastAsia="Times New Roman" w:hAnsiTheme="minorHAnsi" w:cstheme="minorHAnsi"/>
                <w:w w:val="100"/>
                <w:kern w:val="0"/>
                <w:sz w:val="19"/>
                <w:szCs w:val="19"/>
                <w:lang w:eastAsia="en-AU"/>
              </w:rPr>
              <w:t>(ACT), chapter 7) (s 24).</w:t>
            </w:r>
            <w:r w:rsidRPr="00DB2B77">
              <w:rPr>
                <w:rFonts w:asciiTheme="minorHAnsi" w:eastAsia="Times New Roman" w:hAnsiTheme="minorHAnsi" w:cstheme="minorHAnsi"/>
                <w:w w:val="100"/>
                <w:kern w:val="0"/>
                <w:sz w:val="19"/>
                <w:szCs w:val="19"/>
                <w:vertAlign w:val="superscript"/>
                <w:lang w:eastAsia="en-AU"/>
              </w:rPr>
              <w:footnoteReference w:id="33"/>
            </w:r>
          </w:p>
        </w:tc>
        <w:tc>
          <w:tcPr>
            <w:tcW w:w="504" w:type="pct"/>
            <w:tcBorders>
              <w:top w:val="single" w:sz="4" w:space="0" w:color="auto"/>
              <w:left w:val="nil"/>
              <w:bottom w:val="single" w:sz="4" w:space="0" w:color="auto"/>
              <w:right w:val="nil"/>
            </w:tcBorders>
            <w:vAlign w:val="top"/>
            <w:hideMark/>
          </w:tcPr>
          <w:p w14:paraId="6EF9B5B5" w14:textId="77777777" w:rsidR="00030303" w:rsidRPr="00DB2B77" w:rsidRDefault="00030303" w:rsidP="00030303">
            <w:pPr>
              <w:spacing w:before="60" w:after="60" w:line="240" w:lineRule="atLeast"/>
              <w:rPr>
                <w:rFonts w:asciiTheme="minorHAnsi" w:eastAsia="Times New Roman" w:hAnsiTheme="minorHAnsi" w:cstheme="minorHAnsi"/>
                <w:b/>
                <w:w w:val="100"/>
                <w:kern w:val="0"/>
                <w:sz w:val="19"/>
                <w:szCs w:val="19"/>
                <w:lang w:eastAsia="en-AU"/>
              </w:rPr>
            </w:pPr>
            <w:r w:rsidRPr="00DB2B77">
              <w:rPr>
                <w:rFonts w:asciiTheme="minorHAnsi" w:eastAsia="Times New Roman" w:hAnsiTheme="minorHAnsi" w:cstheme="minorHAnsi"/>
                <w:w w:val="100"/>
                <w:kern w:val="0"/>
                <w:sz w:val="19"/>
                <w:szCs w:val="19"/>
                <w:shd w:val="clear" w:color="auto" w:fill="FFFFFF"/>
                <w:lang w:eastAsia="en-AU"/>
              </w:rPr>
              <w:lastRenderedPageBreak/>
              <w:t xml:space="preserve">If the letters patent declare that this provision applies to an </w:t>
            </w:r>
            <w:r w:rsidRPr="00DB2B77">
              <w:rPr>
                <w:rFonts w:asciiTheme="minorHAnsi" w:eastAsia="Times New Roman" w:hAnsiTheme="minorHAnsi" w:cstheme="minorHAnsi"/>
                <w:w w:val="100"/>
                <w:kern w:val="0"/>
                <w:sz w:val="19"/>
                <w:szCs w:val="19"/>
                <w:shd w:val="clear" w:color="auto" w:fill="FFFFFF"/>
                <w:lang w:eastAsia="en-AU"/>
              </w:rPr>
              <w:lastRenderedPageBreak/>
              <w:t>inquiry (s 17(5)), an answer made, or document or other thing produced by a witness to or before a Commission is not admissible in evidence against the person in civil or criminal proceedings (s 17(2)), except in certain circumstances including in proceedings for an offence against the Act (s 17(3)).</w:t>
            </w:r>
          </w:p>
        </w:tc>
        <w:tc>
          <w:tcPr>
            <w:tcW w:w="504" w:type="pct"/>
            <w:tcBorders>
              <w:top w:val="single" w:sz="4" w:space="0" w:color="auto"/>
              <w:left w:val="nil"/>
              <w:bottom w:val="single" w:sz="4" w:space="0" w:color="auto"/>
              <w:right w:val="nil"/>
            </w:tcBorders>
            <w:vAlign w:val="top"/>
            <w:hideMark/>
          </w:tcPr>
          <w:p w14:paraId="7CBCC335" w14:textId="77777777" w:rsidR="00030303" w:rsidRPr="00DB2B77" w:rsidRDefault="00030303" w:rsidP="00030303">
            <w:pPr>
              <w:spacing w:before="60" w:after="60" w:line="240" w:lineRule="atLeast"/>
              <w:rPr>
                <w:rFonts w:asciiTheme="minorHAnsi" w:eastAsia="Times New Roman" w:hAnsiTheme="minorHAnsi" w:cstheme="minorHAnsi"/>
                <w:w w:val="100"/>
                <w:kern w:val="0"/>
                <w:sz w:val="19"/>
                <w:szCs w:val="19"/>
                <w:lang w:eastAsia="en-AU"/>
              </w:rPr>
            </w:pPr>
            <w:r w:rsidRPr="00DB2B77">
              <w:rPr>
                <w:rFonts w:asciiTheme="minorHAnsi" w:eastAsia="Times New Roman" w:hAnsiTheme="minorHAnsi" w:cstheme="minorHAnsi"/>
                <w:w w:val="100"/>
                <w:kern w:val="0"/>
                <w:sz w:val="19"/>
                <w:szCs w:val="19"/>
                <w:lang w:eastAsia="en-AU"/>
              </w:rPr>
              <w:lastRenderedPageBreak/>
              <w:t xml:space="preserve">A statement or disclosure made by any witness to a Board or </w:t>
            </w:r>
            <w:r w:rsidRPr="00DB2B77">
              <w:rPr>
                <w:rFonts w:asciiTheme="minorHAnsi" w:eastAsia="Times New Roman" w:hAnsiTheme="minorHAnsi" w:cstheme="minorHAnsi"/>
                <w:w w:val="100"/>
                <w:kern w:val="0"/>
                <w:sz w:val="19"/>
                <w:szCs w:val="19"/>
                <w:lang w:eastAsia="en-AU"/>
              </w:rPr>
              <w:lastRenderedPageBreak/>
              <w:t>Commissioner is not, except in proceedings for an offence arising under this Act, admissible in evidence against the witness in any civil or criminal proceedings in any court (s 13).</w:t>
            </w:r>
          </w:p>
        </w:tc>
        <w:tc>
          <w:tcPr>
            <w:tcW w:w="509" w:type="pct"/>
            <w:tcBorders>
              <w:top w:val="single" w:sz="4" w:space="0" w:color="auto"/>
              <w:left w:val="nil"/>
              <w:bottom w:val="single" w:sz="4" w:space="0" w:color="auto"/>
              <w:right w:val="nil"/>
            </w:tcBorders>
            <w:vAlign w:val="top"/>
            <w:hideMark/>
          </w:tcPr>
          <w:p w14:paraId="7099BC2A" w14:textId="77777777" w:rsidR="00030303" w:rsidRPr="00DB2B77" w:rsidRDefault="00030303" w:rsidP="00030303">
            <w:pPr>
              <w:spacing w:before="60" w:after="60" w:line="240" w:lineRule="atLeast"/>
              <w:rPr>
                <w:rFonts w:asciiTheme="minorHAnsi" w:eastAsia="Times New Roman" w:hAnsiTheme="minorHAnsi" w:cstheme="minorHAnsi"/>
                <w:b/>
                <w:w w:val="100"/>
                <w:kern w:val="0"/>
                <w:sz w:val="19"/>
                <w:szCs w:val="19"/>
                <w:lang w:eastAsia="en-AU"/>
              </w:rPr>
            </w:pPr>
            <w:r w:rsidRPr="00DB2B77">
              <w:rPr>
                <w:rFonts w:asciiTheme="minorHAnsi" w:eastAsia="Times New Roman" w:hAnsiTheme="minorHAnsi" w:cstheme="minorHAnsi"/>
                <w:w w:val="100"/>
                <w:kern w:val="0"/>
                <w:sz w:val="19"/>
                <w:szCs w:val="19"/>
                <w:lang w:eastAsia="en-AU"/>
              </w:rPr>
              <w:lastRenderedPageBreak/>
              <w:t xml:space="preserve">A statement or disclosure (but not a document etc produced by a </w:t>
            </w:r>
            <w:r w:rsidRPr="00DB2B77">
              <w:rPr>
                <w:rFonts w:asciiTheme="minorHAnsi" w:eastAsia="Times New Roman" w:hAnsiTheme="minorHAnsi" w:cstheme="minorHAnsi"/>
                <w:w w:val="100"/>
                <w:kern w:val="0"/>
                <w:sz w:val="19"/>
                <w:szCs w:val="19"/>
                <w:lang w:eastAsia="en-AU"/>
              </w:rPr>
              <w:lastRenderedPageBreak/>
              <w:t xml:space="preserve">witness: s 14A(2)) made by any witness in answer to any question put to the witness by a Commission or any Commissioner or before a Commission is not (except in certain circumstances including proceedings in respect of contempt of the Commission or an offence against certain administration of justice offences in the Criminal Code) be admissible </w:t>
            </w:r>
            <w:r w:rsidRPr="00DB2B77">
              <w:rPr>
                <w:rFonts w:asciiTheme="minorHAnsi" w:eastAsia="Times New Roman" w:hAnsiTheme="minorHAnsi" w:cstheme="minorHAnsi"/>
                <w:w w:val="100"/>
                <w:kern w:val="0"/>
                <w:sz w:val="19"/>
                <w:szCs w:val="19"/>
                <w:lang w:eastAsia="en-AU"/>
              </w:rPr>
              <w:lastRenderedPageBreak/>
              <w:t>in evidence against the witness in any civil or criminal proceedings (s 14A(1)).</w:t>
            </w:r>
          </w:p>
        </w:tc>
        <w:tc>
          <w:tcPr>
            <w:tcW w:w="514" w:type="pct"/>
            <w:tcBorders>
              <w:top w:val="single" w:sz="4" w:space="0" w:color="auto"/>
              <w:left w:val="nil"/>
              <w:bottom w:val="single" w:sz="4" w:space="0" w:color="auto"/>
              <w:right w:val="nil"/>
            </w:tcBorders>
            <w:vAlign w:val="top"/>
            <w:hideMark/>
          </w:tcPr>
          <w:p w14:paraId="54D49776" w14:textId="77777777" w:rsidR="00030303" w:rsidRPr="00DB2B77" w:rsidRDefault="00030303" w:rsidP="00030303">
            <w:pPr>
              <w:spacing w:before="60" w:after="60" w:line="240" w:lineRule="atLeast"/>
              <w:rPr>
                <w:rFonts w:asciiTheme="minorHAnsi" w:eastAsia="Times New Roman" w:hAnsiTheme="minorHAnsi" w:cstheme="minorHAnsi"/>
                <w:w w:val="100"/>
                <w:kern w:val="0"/>
                <w:sz w:val="19"/>
                <w:szCs w:val="19"/>
                <w:lang w:eastAsia="en-AU"/>
              </w:rPr>
            </w:pPr>
            <w:r w:rsidRPr="00DB2B77">
              <w:rPr>
                <w:rFonts w:asciiTheme="minorHAnsi" w:eastAsia="Times New Roman" w:hAnsiTheme="minorHAnsi" w:cstheme="minorHAnsi"/>
                <w:w w:val="100"/>
                <w:kern w:val="0"/>
                <w:sz w:val="19"/>
                <w:szCs w:val="19"/>
                <w:lang w:eastAsia="en-AU"/>
              </w:rPr>
              <w:lastRenderedPageBreak/>
              <w:t xml:space="preserve">A statement or disclosure made by any witness in answer to any </w:t>
            </w:r>
            <w:r w:rsidRPr="00DB2B77">
              <w:rPr>
                <w:rFonts w:asciiTheme="minorHAnsi" w:eastAsia="Times New Roman" w:hAnsiTheme="minorHAnsi" w:cstheme="minorHAnsi"/>
                <w:w w:val="100"/>
                <w:kern w:val="0"/>
                <w:sz w:val="19"/>
                <w:szCs w:val="19"/>
                <w:lang w:eastAsia="en-AU"/>
              </w:rPr>
              <w:lastRenderedPageBreak/>
              <w:t>question put to the witness by the Commission or any Commissioner shall not (except in proceedings for an offence against this Act) be admissible in evidence against the witness in any civil or criminal proceedings in any court (s 16).</w:t>
            </w:r>
          </w:p>
        </w:tc>
        <w:tc>
          <w:tcPr>
            <w:tcW w:w="504" w:type="pct"/>
            <w:tcBorders>
              <w:top w:val="single" w:sz="4" w:space="0" w:color="auto"/>
              <w:left w:val="nil"/>
              <w:bottom w:val="single" w:sz="4" w:space="0" w:color="auto"/>
              <w:right w:val="nil"/>
            </w:tcBorders>
            <w:vAlign w:val="top"/>
            <w:hideMark/>
          </w:tcPr>
          <w:p w14:paraId="7AC35B9C" w14:textId="77777777" w:rsidR="00030303" w:rsidRPr="00DB2B77" w:rsidRDefault="00030303" w:rsidP="00030303">
            <w:pPr>
              <w:spacing w:before="60" w:after="60" w:line="240" w:lineRule="atLeast"/>
              <w:rPr>
                <w:rFonts w:asciiTheme="minorHAnsi" w:eastAsia="Times New Roman" w:hAnsiTheme="minorHAnsi" w:cstheme="minorHAnsi"/>
                <w:b/>
                <w:w w:val="100"/>
                <w:kern w:val="0"/>
                <w:sz w:val="19"/>
                <w:szCs w:val="19"/>
                <w:lang w:eastAsia="en-AU"/>
              </w:rPr>
            </w:pPr>
            <w:r w:rsidRPr="00DB2B77">
              <w:rPr>
                <w:rFonts w:asciiTheme="minorHAnsi" w:eastAsia="Times New Roman" w:hAnsiTheme="minorHAnsi" w:cstheme="minorHAnsi"/>
                <w:w w:val="100"/>
                <w:kern w:val="0"/>
                <w:sz w:val="19"/>
                <w:szCs w:val="19"/>
                <w:lang w:eastAsia="en-AU"/>
              </w:rPr>
              <w:lastRenderedPageBreak/>
              <w:t xml:space="preserve">Evidence given by a person before a Commission </w:t>
            </w:r>
            <w:r w:rsidRPr="00DB2B77">
              <w:rPr>
                <w:rFonts w:asciiTheme="minorHAnsi" w:eastAsia="Times New Roman" w:hAnsiTheme="minorHAnsi" w:cstheme="minorHAnsi"/>
                <w:w w:val="100"/>
                <w:kern w:val="0"/>
                <w:sz w:val="19"/>
                <w:szCs w:val="19"/>
                <w:lang w:eastAsia="en-AU"/>
              </w:rPr>
              <w:lastRenderedPageBreak/>
              <w:t>is not admissible in subsequent legal proceedings other than proceedings against that person under this Act (s 21).</w:t>
            </w:r>
          </w:p>
        </w:tc>
        <w:tc>
          <w:tcPr>
            <w:tcW w:w="477" w:type="pct"/>
            <w:tcBorders>
              <w:top w:val="single" w:sz="4" w:space="0" w:color="auto"/>
              <w:left w:val="nil"/>
              <w:bottom w:val="single" w:sz="4" w:space="0" w:color="auto"/>
              <w:right w:val="nil"/>
            </w:tcBorders>
            <w:vAlign w:val="top"/>
            <w:hideMark/>
          </w:tcPr>
          <w:p w14:paraId="339E7665" w14:textId="77777777" w:rsidR="00030303" w:rsidRPr="00DB2B77" w:rsidRDefault="00030303" w:rsidP="00030303">
            <w:pPr>
              <w:spacing w:before="60" w:after="60" w:line="240" w:lineRule="atLeast"/>
              <w:rPr>
                <w:rFonts w:asciiTheme="minorHAnsi" w:eastAsia="Times New Roman" w:hAnsiTheme="minorHAnsi" w:cstheme="minorHAnsi"/>
                <w:w w:val="100"/>
                <w:kern w:val="0"/>
                <w:sz w:val="19"/>
                <w:szCs w:val="19"/>
                <w:lang w:eastAsia="en-AU"/>
              </w:rPr>
            </w:pPr>
            <w:r w:rsidRPr="00DB2B77">
              <w:rPr>
                <w:rFonts w:asciiTheme="minorHAnsi" w:eastAsia="Times New Roman" w:hAnsiTheme="minorHAnsi" w:cstheme="minorHAnsi"/>
                <w:w w:val="100"/>
                <w:kern w:val="0"/>
                <w:sz w:val="19"/>
                <w:szCs w:val="19"/>
                <w:lang w:eastAsia="en-AU"/>
              </w:rPr>
              <w:lastRenderedPageBreak/>
              <w:t xml:space="preserve">Any answer, information, document or thing given or </w:t>
            </w:r>
            <w:r w:rsidRPr="00DB2B77">
              <w:rPr>
                <w:rFonts w:asciiTheme="minorHAnsi" w:eastAsia="Times New Roman" w:hAnsiTheme="minorHAnsi" w:cstheme="minorHAnsi"/>
                <w:w w:val="100"/>
                <w:kern w:val="0"/>
                <w:sz w:val="19"/>
                <w:szCs w:val="19"/>
                <w:lang w:eastAsia="en-AU"/>
              </w:rPr>
              <w:lastRenderedPageBreak/>
              <w:t xml:space="preserve">produced to a Royal Commission by a person (and the fact that that occurred) is neither admissible in evidence nor otherwise able to be used against the person in any other proceedings (exceptions include proceedings for an offence against the Act, and perjury) (s 40(1)). </w:t>
            </w:r>
          </w:p>
          <w:p w14:paraId="6130CAF2" w14:textId="77777777" w:rsidR="00030303" w:rsidRPr="00DB2B77" w:rsidRDefault="00030303" w:rsidP="00030303">
            <w:pPr>
              <w:spacing w:before="60" w:after="60" w:line="240" w:lineRule="atLeast"/>
              <w:rPr>
                <w:rFonts w:asciiTheme="minorHAnsi" w:eastAsia="Times New Roman" w:hAnsiTheme="minorHAnsi" w:cstheme="minorHAnsi"/>
                <w:w w:val="100"/>
                <w:kern w:val="0"/>
                <w:sz w:val="19"/>
                <w:szCs w:val="19"/>
                <w:lang w:eastAsia="en-AU"/>
              </w:rPr>
            </w:pPr>
            <w:r w:rsidRPr="00DB2B77">
              <w:rPr>
                <w:rFonts w:asciiTheme="minorHAnsi" w:eastAsia="Times New Roman" w:hAnsiTheme="minorHAnsi" w:cstheme="minorHAnsi"/>
                <w:w w:val="100"/>
                <w:kern w:val="0"/>
                <w:sz w:val="19"/>
                <w:szCs w:val="19"/>
                <w:lang w:eastAsia="en-AU"/>
              </w:rPr>
              <w:lastRenderedPageBreak/>
              <w:t>Equivalent provisions apply in respect of Boards of Inquiry (s 80) and Formal Reviews (s 112).</w:t>
            </w:r>
          </w:p>
        </w:tc>
        <w:tc>
          <w:tcPr>
            <w:tcW w:w="514" w:type="pct"/>
            <w:tcBorders>
              <w:top w:val="single" w:sz="4" w:space="0" w:color="auto"/>
              <w:left w:val="nil"/>
              <w:bottom w:val="single" w:sz="4" w:space="0" w:color="auto"/>
              <w:right w:val="single" w:sz="4" w:space="0" w:color="auto"/>
            </w:tcBorders>
            <w:vAlign w:val="top"/>
            <w:hideMark/>
          </w:tcPr>
          <w:p w14:paraId="27E67FFB" w14:textId="77777777" w:rsidR="00030303" w:rsidRPr="00DB2B77" w:rsidRDefault="00030303" w:rsidP="00030303">
            <w:pPr>
              <w:spacing w:before="60" w:after="60" w:line="240" w:lineRule="atLeast"/>
              <w:rPr>
                <w:rFonts w:asciiTheme="minorHAnsi" w:eastAsia="Times New Roman" w:hAnsiTheme="minorHAnsi" w:cstheme="minorHAnsi"/>
                <w:b/>
                <w:w w:val="100"/>
                <w:kern w:val="0"/>
                <w:sz w:val="19"/>
                <w:szCs w:val="19"/>
                <w:lang w:eastAsia="en-AU"/>
              </w:rPr>
            </w:pPr>
            <w:r w:rsidRPr="00DB2B77">
              <w:rPr>
                <w:rFonts w:asciiTheme="minorHAnsi" w:eastAsia="Times New Roman" w:hAnsiTheme="minorHAnsi" w:cstheme="minorHAnsi"/>
                <w:w w:val="100"/>
                <w:kern w:val="0"/>
                <w:sz w:val="19"/>
                <w:szCs w:val="19"/>
                <w:lang w:eastAsia="en-AU"/>
              </w:rPr>
              <w:lastRenderedPageBreak/>
              <w:t xml:space="preserve">A statement or disclosure made by a witness in answer to any </w:t>
            </w:r>
            <w:r w:rsidRPr="00DB2B77">
              <w:rPr>
                <w:rFonts w:asciiTheme="minorHAnsi" w:eastAsia="Times New Roman" w:hAnsiTheme="minorHAnsi" w:cstheme="minorHAnsi"/>
                <w:w w:val="100"/>
                <w:kern w:val="0"/>
                <w:sz w:val="19"/>
                <w:szCs w:val="19"/>
                <w:lang w:eastAsia="en-AU"/>
              </w:rPr>
              <w:lastRenderedPageBreak/>
              <w:t>question put to the witness by a Commission or any Commissioner shall not (except in contempt proceedings or proceedings for an offence against this Act) be admissible in evidence against the witness in any civil or criminal proceedings in any Court in this State (s 20).</w:t>
            </w:r>
          </w:p>
        </w:tc>
      </w:tr>
      <w:tr w:rsidR="00030303" w:rsidRPr="00DB2B77" w14:paraId="74468E5D" w14:textId="77777777" w:rsidTr="00030303">
        <w:tc>
          <w:tcPr>
            <w:tcW w:w="467" w:type="pct"/>
            <w:tcBorders>
              <w:top w:val="single" w:sz="4" w:space="0" w:color="auto"/>
              <w:left w:val="single" w:sz="4" w:space="0" w:color="auto"/>
              <w:bottom w:val="single" w:sz="4" w:space="0" w:color="auto"/>
              <w:right w:val="nil"/>
            </w:tcBorders>
            <w:vAlign w:val="top"/>
            <w:hideMark/>
          </w:tcPr>
          <w:p w14:paraId="36F29615" w14:textId="77777777" w:rsidR="00030303" w:rsidRPr="00DB2B77" w:rsidRDefault="00030303" w:rsidP="00030303">
            <w:pPr>
              <w:spacing w:before="60" w:after="60" w:line="240" w:lineRule="atLeast"/>
              <w:rPr>
                <w:rFonts w:asciiTheme="minorHAnsi" w:eastAsia="Times New Roman" w:hAnsiTheme="minorHAnsi" w:cstheme="minorHAnsi"/>
                <w:b/>
                <w:w w:val="100"/>
                <w:kern w:val="0"/>
                <w:sz w:val="19"/>
                <w:szCs w:val="19"/>
                <w:lang w:eastAsia="en-AU"/>
              </w:rPr>
            </w:pPr>
            <w:r w:rsidRPr="00DB2B77">
              <w:rPr>
                <w:rFonts w:asciiTheme="minorHAnsi" w:eastAsia="Times New Roman" w:hAnsiTheme="minorHAnsi" w:cstheme="minorHAnsi"/>
                <w:b/>
                <w:w w:val="100"/>
                <w:kern w:val="0"/>
                <w:sz w:val="19"/>
                <w:szCs w:val="19"/>
                <w:lang w:eastAsia="en-AU"/>
              </w:rPr>
              <w:lastRenderedPageBreak/>
              <w:t>Statements made by others engaging with a Commission not admissible in evidence in other proceedings</w:t>
            </w:r>
          </w:p>
        </w:tc>
        <w:tc>
          <w:tcPr>
            <w:tcW w:w="503" w:type="pct"/>
            <w:tcBorders>
              <w:top w:val="single" w:sz="4" w:space="0" w:color="auto"/>
              <w:left w:val="nil"/>
              <w:bottom w:val="single" w:sz="4" w:space="0" w:color="auto"/>
              <w:right w:val="nil"/>
            </w:tcBorders>
            <w:shd w:val="clear" w:color="auto" w:fill="D9D9D9"/>
            <w:vAlign w:val="top"/>
            <w:hideMark/>
          </w:tcPr>
          <w:p w14:paraId="137472FB" w14:textId="77777777" w:rsidR="00030303" w:rsidRPr="00DB2B77" w:rsidRDefault="00030303" w:rsidP="00030303">
            <w:pPr>
              <w:spacing w:before="60" w:after="60" w:line="240" w:lineRule="atLeast"/>
              <w:rPr>
                <w:rFonts w:asciiTheme="minorHAnsi" w:eastAsia="Times New Roman" w:hAnsiTheme="minorHAnsi" w:cstheme="minorHAnsi"/>
                <w:w w:val="100"/>
                <w:kern w:val="0"/>
                <w:sz w:val="19"/>
                <w:szCs w:val="19"/>
                <w:lang w:eastAsia="en-AU"/>
              </w:rPr>
            </w:pPr>
            <w:r w:rsidRPr="00DB2B77">
              <w:rPr>
                <w:rFonts w:asciiTheme="minorHAnsi" w:eastAsia="Times New Roman" w:hAnsiTheme="minorHAnsi" w:cstheme="minorHAnsi"/>
                <w:w w:val="100"/>
                <w:kern w:val="0"/>
                <w:sz w:val="19"/>
                <w:szCs w:val="19"/>
                <w:lang w:eastAsia="en-AU"/>
              </w:rPr>
              <w:t xml:space="preserve">A statement or disclosure made by, or on behalf of, a natural person at a private session, or the production of a document or other thing by or on behalf of the person at a private session, or a statement or disclosure made to a Commission for the purposes of a private session (whether or not that session </w:t>
            </w:r>
            <w:r w:rsidRPr="00DB2B77">
              <w:rPr>
                <w:rFonts w:asciiTheme="minorHAnsi" w:eastAsia="Times New Roman" w:hAnsiTheme="minorHAnsi" w:cstheme="minorHAnsi"/>
                <w:w w:val="100"/>
                <w:kern w:val="0"/>
                <w:sz w:val="19"/>
                <w:szCs w:val="19"/>
                <w:lang w:eastAsia="en-AU"/>
              </w:rPr>
              <w:lastRenderedPageBreak/>
              <w:t xml:space="preserve">was, or is to be held) is not admissible in evidence against the person in any civil or criminal proceedings in a Commonwealth, State or Territory court (s 6OE(1) and (1A)), except in proceedings for an offence against the Act (s 6OE(2)). </w:t>
            </w:r>
          </w:p>
        </w:tc>
        <w:tc>
          <w:tcPr>
            <w:tcW w:w="504" w:type="pct"/>
            <w:tcBorders>
              <w:top w:val="single" w:sz="4" w:space="0" w:color="auto"/>
              <w:left w:val="nil"/>
              <w:bottom w:val="single" w:sz="4" w:space="0" w:color="auto"/>
              <w:right w:val="nil"/>
            </w:tcBorders>
            <w:vAlign w:val="top"/>
            <w:hideMark/>
          </w:tcPr>
          <w:p w14:paraId="756BC85E" w14:textId="77777777" w:rsidR="00030303" w:rsidRPr="00DB2B77" w:rsidRDefault="00030303" w:rsidP="00030303">
            <w:pPr>
              <w:spacing w:before="60" w:after="60" w:line="240" w:lineRule="atLeast"/>
              <w:rPr>
                <w:rFonts w:asciiTheme="minorHAnsi" w:eastAsia="Times New Roman" w:hAnsiTheme="minorHAnsi" w:cstheme="minorHAnsi"/>
                <w:w w:val="100"/>
                <w:kern w:val="0"/>
                <w:sz w:val="19"/>
                <w:szCs w:val="19"/>
                <w:lang w:eastAsia="en-AU"/>
              </w:rPr>
            </w:pPr>
            <w:r w:rsidRPr="00DB2B77">
              <w:rPr>
                <w:rFonts w:asciiTheme="minorHAnsi" w:eastAsia="Times New Roman" w:hAnsiTheme="minorHAnsi" w:cstheme="minorHAnsi"/>
                <w:w w:val="100"/>
                <w:kern w:val="0"/>
                <w:sz w:val="19"/>
                <w:szCs w:val="19"/>
                <w:lang w:eastAsia="en-AU"/>
              </w:rPr>
              <w:lastRenderedPageBreak/>
              <w:t>N/A</w:t>
            </w:r>
          </w:p>
        </w:tc>
        <w:tc>
          <w:tcPr>
            <w:tcW w:w="504" w:type="pct"/>
            <w:tcBorders>
              <w:top w:val="single" w:sz="4" w:space="0" w:color="auto"/>
              <w:left w:val="nil"/>
              <w:bottom w:val="single" w:sz="4" w:space="0" w:color="auto"/>
              <w:right w:val="nil"/>
            </w:tcBorders>
            <w:vAlign w:val="top"/>
            <w:hideMark/>
          </w:tcPr>
          <w:p w14:paraId="42F2BF66" w14:textId="77777777" w:rsidR="00030303" w:rsidRPr="00DB2B77" w:rsidRDefault="00030303" w:rsidP="00030303">
            <w:pPr>
              <w:spacing w:before="60" w:after="60" w:line="240" w:lineRule="atLeast"/>
              <w:rPr>
                <w:rFonts w:asciiTheme="minorHAnsi" w:eastAsia="Times New Roman" w:hAnsiTheme="minorHAnsi" w:cstheme="minorHAnsi"/>
                <w:w w:val="100"/>
                <w:kern w:val="0"/>
                <w:sz w:val="19"/>
                <w:szCs w:val="19"/>
                <w:shd w:val="clear" w:color="auto" w:fill="FFFFFF"/>
                <w:lang w:eastAsia="en-AU"/>
              </w:rPr>
            </w:pPr>
            <w:r w:rsidRPr="00DB2B77">
              <w:rPr>
                <w:rFonts w:asciiTheme="minorHAnsi" w:eastAsia="Times New Roman" w:hAnsiTheme="minorHAnsi" w:cstheme="minorHAnsi"/>
                <w:w w:val="100"/>
                <w:kern w:val="0"/>
                <w:sz w:val="19"/>
                <w:szCs w:val="19"/>
                <w:lang w:eastAsia="en-AU"/>
              </w:rPr>
              <w:t>N/A</w:t>
            </w:r>
          </w:p>
        </w:tc>
        <w:tc>
          <w:tcPr>
            <w:tcW w:w="504" w:type="pct"/>
            <w:tcBorders>
              <w:top w:val="single" w:sz="4" w:space="0" w:color="auto"/>
              <w:left w:val="nil"/>
              <w:bottom w:val="single" w:sz="4" w:space="0" w:color="auto"/>
              <w:right w:val="nil"/>
            </w:tcBorders>
            <w:vAlign w:val="top"/>
            <w:hideMark/>
          </w:tcPr>
          <w:p w14:paraId="75A592A1" w14:textId="77777777" w:rsidR="00030303" w:rsidRPr="00DB2B77" w:rsidRDefault="00030303" w:rsidP="00030303">
            <w:pPr>
              <w:spacing w:before="60" w:after="60" w:line="240" w:lineRule="atLeast"/>
              <w:rPr>
                <w:rFonts w:asciiTheme="minorHAnsi" w:eastAsia="Times New Roman" w:hAnsiTheme="minorHAnsi" w:cstheme="minorHAnsi"/>
                <w:b/>
                <w:w w:val="100"/>
                <w:kern w:val="0"/>
                <w:sz w:val="19"/>
                <w:szCs w:val="19"/>
                <w:lang w:eastAsia="en-AU"/>
              </w:rPr>
            </w:pPr>
            <w:r w:rsidRPr="00DB2B77">
              <w:rPr>
                <w:rFonts w:asciiTheme="minorHAnsi" w:eastAsia="Times New Roman" w:hAnsiTheme="minorHAnsi" w:cstheme="minorHAnsi"/>
                <w:w w:val="100"/>
                <w:kern w:val="0"/>
                <w:sz w:val="19"/>
                <w:szCs w:val="19"/>
                <w:lang w:eastAsia="en-AU"/>
              </w:rPr>
              <w:t>N/A</w:t>
            </w:r>
          </w:p>
        </w:tc>
        <w:tc>
          <w:tcPr>
            <w:tcW w:w="509" w:type="pct"/>
            <w:tcBorders>
              <w:top w:val="single" w:sz="4" w:space="0" w:color="auto"/>
              <w:left w:val="nil"/>
              <w:bottom w:val="single" w:sz="4" w:space="0" w:color="auto"/>
              <w:right w:val="nil"/>
            </w:tcBorders>
            <w:vAlign w:val="top"/>
            <w:hideMark/>
          </w:tcPr>
          <w:p w14:paraId="6BF71DE0" w14:textId="77777777" w:rsidR="00030303" w:rsidRPr="00DB2B77" w:rsidRDefault="00030303" w:rsidP="00030303">
            <w:pPr>
              <w:spacing w:before="60" w:after="60" w:line="240" w:lineRule="atLeast"/>
              <w:rPr>
                <w:rFonts w:asciiTheme="minorHAnsi" w:eastAsia="Times New Roman" w:hAnsiTheme="minorHAnsi" w:cstheme="minorHAnsi"/>
                <w:b/>
                <w:w w:val="100"/>
                <w:kern w:val="0"/>
                <w:sz w:val="19"/>
                <w:szCs w:val="19"/>
                <w:lang w:eastAsia="en-AU"/>
              </w:rPr>
            </w:pPr>
            <w:r w:rsidRPr="00DB2B77">
              <w:rPr>
                <w:rFonts w:asciiTheme="minorHAnsi" w:eastAsia="Times New Roman" w:hAnsiTheme="minorHAnsi" w:cstheme="minorHAnsi"/>
                <w:w w:val="100"/>
                <w:kern w:val="0"/>
                <w:sz w:val="19"/>
                <w:szCs w:val="19"/>
                <w:lang w:eastAsia="en-AU"/>
              </w:rPr>
              <w:t>N/A</w:t>
            </w:r>
          </w:p>
        </w:tc>
        <w:tc>
          <w:tcPr>
            <w:tcW w:w="514" w:type="pct"/>
            <w:tcBorders>
              <w:top w:val="single" w:sz="4" w:space="0" w:color="auto"/>
              <w:left w:val="nil"/>
              <w:bottom w:val="single" w:sz="4" w:space="0" w:color="auto"/>
              <w:right w:val="nil"/>
            </w:tcBorders>
            <w:vAlign w:val="top"/>
            <w:hideMark/>
          </w:tcPr>
          <w:p w14:paraId="02421017" w14:textId="77777777" w:rsidR="00030303" w:rsidRPr="00DB2B77" w:rsidRDefault="00030303" w:rsidP="00030303">
            <w:pPr>
              <w:spacing w:before="60" w:after="60" w:line="240" w:lineRule="atLeast"/>
              <w:rPr>
                <w:rFonts w:asciiTheme="minorHAnsi" w:eastAsia="Times New Roman" w:hAnsiTheme="minorHAnsi" w:cstheme="minorHAnsi"/>
                <w:w w:val="100"/>
                <w:kern w:val="0"/>
                <w:sz w:val="19"/>
                <w:szCs w:val="19"/>
                <w:lang w:eastAsia="en-AU"/>
              </w:rPr>
            </w:pPr>
            <w:r w:rsidRPr="00DB2B77">
              <w:rPr>
                <w:rFonts w:asciiTheme="minorHAnsi" w:eastAsia="Times New Roman" w:hAnsiTheme="minorHAnsi" w:cstheme="minorHAnsi"/>
                <w:w w:val="100"/>
                <w:kern w:val="0"/>
                <w:sz w:val="19"/>
                <w:szCs w:val="19"/>
                <w:lang w:eastAsia="en-AU"/>
              </w:rPr>
              <w:t>N/A</w:t>
            </w:r>
          </w:p>
        </w:tc>
        <w:tc>
          <w:tcPr>
            <w:tcW w:w="504" w:type="pct"/>
            <w:tcBorders>
              <w:top w:val="single" w:sz="4" w:space="0" w:color="auto"/>
              <w:left w:val="nil"/>
              <w:bottom w:val="single" w:sz="4" w:space="0" w:color="auto"/>
              <w:right w:val="nil"/>
            </w:tcBorders>
            <w:vAlign w:val="top"/>
            <w:hideMark/>
          </w:tcPr>
          <w:p w14:paraId="3B70039E" w14:textId="77777777" w:rsidR="00030303" w:rsidRPr="00DB2B77" w:rsidRDefault="00030303" w:rsidP="00030303">
            <w:pPr>
              <w:spacing w:before="60" w:after="60" w:line="240" w:lineRule="atLeast"/>
              <w:rPr>
                <w:rFonts w:asciiTheme="minorHAnsi" w:eastAsia="Times New Roman" w:hAnsiTheme="minorHAnsi" w:cstheme="minorHAnsi"/>
                <w:w w:val="100"/>
                <w:kern w:val="0"/>
                <w:sz w:val="19"/>
                <w:szCs w:val="19"/>
                <w:lang w:eastAsia="en-AU"/>
              </w:rPr>
            </w:pPr>
            <w:r w:rsidRPr="00DB2B77">
              <w:rPr>
                <w:rFonts w:asciiTheme="minorHAnsi" w:eastAsia="Times New Roman" w:hAnsiTheme="minorHAnsi" w:cstheme="minorHAnsi"/>
                <w:w w:val="100"/>
                <w:kern w:val="0"/>
                <w:sz w:val="19"/>
                <w:szCs w:val="19"/>
                <w:lang w:eastAsia="en-AU"/>
              </w:rPr>
              <w:t xml:space="preserve">A statement or disclosure made by a person at a private session or to a member of a Commission solely for the purposes of a private session or proposed private session, or the production of a document or other thing by the </w:t>
            </w:r>
            <w:r w:rsidRPr="00DB2B77">
              <w:rPr>
                <w:rFonts w:asciiTheme="minorHAnsi" w:eastAsia="Times New Roman" w:hAnsiTheme="minorHAnsi" w:cstheme="minorHAnsi"/>
                <w:w w:val="100"/>
                <w:kern w:val="0"/>
                <w:sz w:val="19"/>
                <w:szCs w:val="19"/>
                <w:lang w:eastAsia="en-AU"/>
              </w:rPr>
              <w:lastRenderedPageBreak/>
              <w:t>person at a private session, is not admissible in evidence against a person in any civil or criminal proceedings (except proceedings for an offence under s 19C) in any court (s 19</w:t>
            </w:r>
            <w:proofErr w:type="gramStart"/>
            <w:r w:rsidRPr="00DB2B77">
              <w:rPr>
                <w:rFonts w:asciiTheme="minorHAnsi" w:eastAsia="Times New Roman" w:hAnsiTheme="minorHAnsi" w:cstheme="minorHAnsi"/>
                <w:w w:val="100"/>
                <w:kern w:val="0"/>
                <w:sz w:val="19"/>
                <w:szCs w:val="19"/>
                <w:lang w:eastAsia="en-AU"/>
              </w:rPr>
              <w:t>B(</w:t>
            </w:r>
            <w:proofErr w:type="gramEnd"/>
            <w:r w:rsidRPr="00DB2B77">
              <w:rPr>
                <w:rFonts w:asciiTheme="minorHAnsi" w:eastAsia="Times New Roman" w:hAnsiTheme="minorHAnsi" w:cstheme="minorHAnsi"/>
                <w:w w:val="100"/>
                <w:kern w:val="0"/>
                <w:sz w:val="19"/>
                <w:szCs w:val="19"/>
                <w:lang w:eastAsia="en-AU"/>
              </w:rPr>
              <w:t xml:space="preserve">1)). </w:t>
            </w:r>
            <w:bookmarkStart w:id="14" w:name="GS19B@Gs2@EN"/>
            <w:bookmarkEnd w:id="14"/>
          </w:p>
        </w:tc>
        <w:tc>
          <w:tcPr>
            <w:tcW w:w="477" w:type="pct"/>
            <w:tcBorders>
              <w:top w:val="single" w:sz="4" w:space="0" w:color="auto"/>
              <w:left w:val="nil"/>
              <w:bottom w:val="single" w:sz="4" w:space="0" w:color="auto"/>
              <w:right w:val="nil"/>
            </w:tcBorders>
            <w:vAlign w:val="top"/>
            <w:hideMark/>
          </w:tcPr>
          <w:p w14:paraId="5347A642" w14:textId="77777777" w:rsidR="00030303" w:rsidRPr="00DB2B77" w:rsidRDefault="00030303" w:rsidP="00030303">
            <w:pPr>
              <w:spacing w:before="60" w:after="60" w:line="240" w:lineRule="atLeast"/>
              <w:rPr>
                <w:rFonts w:asciiTheme="minorHAnsi" w:eastAsia="Times New Roman" w:hAnsiTheme="minorHAnsi" w:cstheme="minorHAnsi"/>
                <w:w w:val="100"/>
                <w:kern w:val="0"/>
                <w:sz w:val="19"/>
                <w:szCs w:val="19"/>
                <w:lang w:eastAsia="en-AU"/>
              </w:rPr>
            </w:pPr>
            <w:r w:rsidRPr="00DB2B77">
              <w:rPr>
                <w:rFonts w:asciiTheme="minorHAnsi" w:eastAsia="Times New Roman" w:hAnsiTheme="minorHAnsi" w:cstheme="minorHAnsi"/>
                <w:w w:val="100"/>
                <w:kern w:val="0"/>
                <w:sz w:val="19"/>
                <w:szCs w:val="19"/>
                <w:lang w:eastAsia="en-AU"/>
              </w:rPr>
              <w:lastRenderedPageBreak/>
              <w:t>N/A</w:t>
            </w:r>
          </w:p>
        </w:tc>
        <w:tc>
          <w:tcPr>
            <w:tcW w:w="514" w:type="pct"/>
            <w:tcBorders>
              <w:top w:val="single" w:sz="4" w:space="0" w:color="auto"/>
              <w:left w:val="nil"/>
              <w:bottom w:val="single" w:sz="4" w:space="0" w:color="auto"/>
              <w:right w:val="single" w:sz="4" w:space="0" w:color="auto"/>
            </w:tcBorders>
            <w:vAlign w:val="top"/>
            <w:hideMark/>
          </w:tcPr>
          <w:p w14:paraId="7EC204FE" w14:textId="77777777" w:rsidR="00030303" w:rsidRPr="00DB2B77" w:rsidRDefault="00030303" w:rsidP="00030303">
            <w:pPr>
              <w:spacing w:before="60" w:after="60" w:line="240" w:lineRule="atLeast"/>
              <w:rPr>
                <w:rFonts w:asciiTheme="minorHAnsi" w:eastAsia="Times New Roman" w:hAnsiTheme="minorHAnsi" w:cstheme="minorHAnsi"/>
                <w:w w:val="100"/>
                <w:kern w:val="0"/>
                <w:sz w:val="19"/>
                <w:szCs w:val="19"/>
                <w:lang w:eastAsia="en-AU"/>
              </w:rPr>
            </w:pPr>
            <w:r w:rsidRPr="00DB2B77">
              <w:rPr>
                <w:rFonts w:asciiTheme="minorHAnsi" w:eastAsia="Times New Roman" w:hAnsiTheme="minorHAnsi" w:cstheme="minorHAnsi"/>
                <w:w w:val="100"/>
                <w:kern w:val="0"/>
                <w:sz w:val="19"/>
                <w:szCs w:val="19"/>
                <w:lang w:eastAsia="en-AU"/>
              </w:rPr>
              <w:t>N/A</w:t>
            </w:r>
          </w:p>
        </w:tc>
      </w:tr>
      <w:tr w:rsidR="00030303" w:rsidRPr="00DB2B77" w14:paraId="075B7A59" w14:textId="77777777" w:rsidTr="00030303">
        <w:tc>
          <w:tcPr>
            <w:tcW w:w="467" w:type="pct"/>
            <w:tcBorders>
              <w:top w:val="single" w:sz="4" w:space="0" w:color="auto"/>
              <w:left w:val="single" w:sz="4" w:space="0" w:color="auto"/>
              <w:bottom w:val="single" w:sz="4" w:space="0" w:color="auto"/>
              <w:right w:val="nil"/>
            </w:tcBorders>
            <w:vAlign w:val="top"/>
            <w:hideMark/>
          </w:tcPr>
          <w:p w14:paraId="51D07CFF" w14:textId="77777777" w:rsidR="00030303" w:rsidRPr="00DB2B77" w:rsidRDefault="00030303" w:rsidP="00030303">
            <w:pPr>
              <w:spacing w:before="60" w:after="60" w:line="240" w:lineRule="atLeast"/>
              <w:rPr>
                <w:rFonts w:asciiTheme="minorHAnsi" w:eastAsia="Times New Roman" w:hAnsiTheme="minorHAnsi" w:cstheme="minorHAnsi"/>
                <w:b/>
                <w:w w:val="100"/>
                <w:kern w:val="0"/>
                <w:sz w:val="19"/>
                <w:szCs w:val="19"/>
                <w:lang w:eastAsia="en-AU"/>
              </w:rPr>
            </w:pPr>
            <w:r w:rsidRPr="00DB2B77">
              <w:rPr>
                <w:rFonts w:asciiTheme="minorHAnsi" w:eastAsia="Times New Roman" w:hAnsiTheme="minorHAnsi" w:cstheme="minorHAnsi"/>
                <w:b/>
                <w:w w:val="100"/>
                <w:kern w:val="0"/>
                <w:sz w:val="19"/>
                <w:szCs w:val="19"/>
                <w:lang w:eastAsia="en-AU"/>
              </w:rPr>
              <w:t>Threatening or insulting witness</w:t>
            </w:r>
          </w:p>
        </w:tc>
        <w:tc>
          <w:tcPr>
            <w:tcW w:w="503" w:type="pct"/>
            <w:tcBorders>
              <w:top w:val="single" w:sz="4" w:space="0" w:color="auto"/>
              <w:left w:val="nil"/>
              <w:bottom w:val="single" w:sz="4" w:space="0" w:color="auto"/>
              <w:right w:val="nil"/>
            </w:tcBorders>
            <w:shd w:val="clear" w:color="auto" w:fill="D9D9D9"/>
            <w:vAlign w:val="top"/>
          </w:tcPr>
          <w:p w14:paraId="46581C2D" w14:textId="77777777" w:rsidR="00030303" w:rsidRPr="00DB2B77" w:rsidRDefault="00030303" w:rsidP="00030303">
            <w:pPr>
              <w:spacing w:before="60" w:after="60" w:line="240" w:lineRule="atLeast"/>
              <w:rPr>
                <w:rFonts w:asciiTheme="minorHAnsi" w:eastAsia="Times New Roman" w:hAnsiTheme="minorHAnsi" w:cstheme="minorHAnsi"/>
                <w:i/>
                <w:w w:val="100"/>
                <w:kern w:val="0"/>
                <w:sz w:val="19"/>
                <w:szCs w:val="19"/>
                <w:highlight w:val="yellow"/>
                <w:lang w:eastAsia="en-AU"/>
              </w:rPr>
            </w:pPr>
          </w:p>
        </w:tc>
        <w:tc>
          <w:tcPr>
            <w:tcW w:w="504" w:type="pct"/>
            <w:tcBorders>
              <w:top w:val="single" w:sz="4" w:space="0" w:color="auto"/>
              <w:left w:val="nil"/>
              <w:bottom w:val="single" w:sz="4" w:space="0" w:color="auto"/>
              <w:right w:val="nil"/>
            </w:tcBorders>
            <w:vAlign w:val="top"/>
          </w:tcPr>
          <w:p w14:paraId="3D3DC683" w14:textId="77777777" w:rsidR="00030303" w:rsidRPr="00DB2B77" w:rsidRDefault="00030303" w:rsidP="00030303">
            <w:pPr>
              <w:spacing w:before="60" w:after="60" w:line="240" w:lineRule="atLeast"/>
              <w:rPr>
                <w:rFonts w:asciiTheme="minorHAnsi" w:eastAsia="Times New Roman" w:hAnsiTheme="minorHAnsi" w:cstheme="minorHAnsi"/>
                <w:w w:val="100"/>
                <w:kern w:val="0"/>
                <w:sz w:val="19"/>
                <w:szCs w:val="19"/>
                <w:highlight w:val="yellow"/>
                <w:lang w:eastAsia="en-AU"/>
              </w:rPr>
            </w:pPr>
          </w:p>
        </w:tc>
        <w:tc>
          <w:tcPr>
            <w:tcW w:w="504" w:type="pct"/>
            <w:tcBorders>
              <w:top w:val="single" w:sz="4" w:space="0" w:color="auto"/>
              <w:left w:val="nil"/>
              <w:bottom w:val="single" w:sz="4" w:space="0" w:color="auto"/>
              <w:right w:val="nil"/>
            </w:tcBorders>
            <w:vAlign w:val="top"/>
          </w:tcPr>
          <w:p w14:paraId="05F5531B" w14:textId="77777777" w:rsidR="00030303" w:rsidRPr="00DB2B77" w:rsidRDefault="00030303" w:rsidP="00030303">
            <w:pPr>
              <w:spacing w:before="60" w:after="60" w:line="240" w:lineRule="atLeast"/>
              <w:rPr>
                <w:rFonts w:asciiTheme="minorHAnsi" w:eastAsia="Times New Roman" w:hAnsiTheme="minorHAnsi" w:cstheme="minorHAnsi"/>
                <w:w w:val="100"/>
                <w:kern w:val="0"/>
                <w:sz w:val="19"/>
                <w:szCs w:val="19"/>
                <w:highlight w:val="yellow"/>
                <w:lang w:eastAsia="en-AU"/>
              </w:rPr>
            </w:pPr>
          </w:p>
        </w:tc>
        <w:tc>
          <w:tcPr>
            <w:tcW w:w="504" w:type="pct"/>
            <w:tcBorders>
              <w:top w:val="single" w:sz="4" w:space="0" w:color="auto"/>
              <w:left w:val="nil"/>
              <w:bottom w:val="single" w:sz="4" w:space="0" w:color="auto"/>
              <w:right w:val="nil"/>
            </w:tcBorders>
            <w:vAlign w:val="top"/>
          </w:tcPr>
          <w:p w14:paraId="2F81D92C" w14:textId="77777777" w:rsidR="00030303" w:rsidRPr="00DB2B77" w:rsidRDefault="00030303" w:rsidP="00030303">
            <w:pPr>
              <w:spacing w:before="60" w:after="60" w:line="240" w:lineRule="atLeast"/>
              <w:rPr>
                <w:rFonts w:asciiTheme="minorHAnsi" w:eastAsia="Times New Roman" w:hAnsiTheme="minorHAnsi" w:cstheme="minorHAnsi"/>
                <w:w w:val="100"/>
                <w:kern w:val="0"/>
                <w:sz w:val="19"/>
                <w:szCs w:val="19"/>
                <w:highlight w:val="yellow"/>
                <w:lang w:eastAsia="en-AU"/>
              </w:rPr>
            </w:pPr>
          </w:p>
        </w:tc>
        <w:tc>
          <w:tcPr>
            <w:tcW w:w="509" w:type="pct"/>
            <w:tcBorders>
              <w:top w:val="single" w:sz="4" w:space="0" w:color="auto"/>
              <w:left w:val="nil"/>
              <w:bottom w:val="single" w:sz="4" w:space="0" w:color="auto"/>
              <w:right w:val="nil"/>
            </w:tcBorders>
            <w:vAlign w:val="top"/>
            <w:hideMark/>
          </w:tcPr>
          <w:p w14:paraId="237546D3" w14:textId="77777777" w:rsidR="00030303" w:rsidRPr="00DB2B77" w:rsidRDefault="00030303" w:rsidP="00030303">
            <w:pPr>
              <w:spacing w:before="60" w:after="60" w:line="240" w:lineRule="atLeast"/>
              <w:rPr>
                <w:rFonts w:asciiTheme="minorHAnsi" w:eastAsia="Times New Roman" w:hAnsiTheme="minorHAnsi" w:cstheme="minorHAnsi"/>
                <w:w w:val="100"/>
                <w:kern w:val="0"/>
                <w:sz w:val="19"/>
                <w:szCs w:val="19"/>
                <w:lang w:eastAsia="en-AU"/>
              </w:rPr>
            </w:pPr>
            <w:r w:rsidRPr="00DB2B77">
              <w:rPr>
                <w:rFonts w:asciiTheme="minorHAnsi" w:eastAsia="Times New Roman" w:hAnsiTheme="minorHAnsi" w:cstheme="minorHAnsi"/>
                <w:w w:val="100"/>
                <w:kern w:val="0"/>
                <w:sz w:val="19"/>
                <w:szCs w:val="19"/>
                <w:lang w:eastAsia="en-AU"/>
              </w:rPr>
              <w:t xml:space="preserve">A person who wilfully threatens or insults any witness or person summoned to attend before a Commission shall be guilty of contempt of the Commission (s 9(2)(c)(iv). </w:t>
            </w:r>
          </w:p>
        </w:tc>
        <w:tc>
          <w:tcPr>
            <w:tcW w:w="514" w:type="pct"/>
            <w:tcBorders>
              <w:top w:val="single" w:sz="4" w:space="0" w:color="auto"/>
              <w:left w:val="nil"/>
              <w:bottom w:val="single" w:sz="4" w:space="0" w:color="auto"/>
              <w:right w:val="nil"/>
            </w:tcBorders>
            <w:vAlign w:val="top"/>
          </w:tcPr>
          <w:p w14:paraId="652ADE52" w14:textId="77777777" w:rsidR="00030303" w:rsidRPr="00DB2B77" w:rsidRDefault="00030303" w:rsidP="00030303">
            <w:pPr>
              <w:spacing w:before="60" w:after="60" w:line="240" w:lineRule="atLeast"/>
              <w:rPr>
                <w:rFonts w:asciiTheme="minorHAnsi" w:eastAsia="Times New Roman" w:hAnsiTheme="minorHAnsi" w:cstheme="minorHAnsi"/>
                <w:w w:val="100"/>
                <w:kern w:val="0"/>
                <w:sz w:val="19"/>
                <w:szCs w:val="19"/>
                <w:highlight w:val="yellow"/>
                <w:lang w:eastAsia="en-AU"/>
              </w:rPr>
            </w:pPr>
          </w:p>
        </w:tc>
        <w:tc>
          <w:tcPr>
            <w:tcW w:w="504" w:type="pct"/>
            <w:tcBorders>
              <w:top w:val="single" w:sz="4" w:space="0" w:color="auto"/>
              <w:left w:val="nil"/>
              <w:bottom w:val="single" w:sz="4" w:space="0" w:color="auto"/>
              <w:right w:val="nil"/>
            </w:tcBorders>
            <w:vAlign w:val="top"/>
          </w:tcPr>
          <w:p w14:paraId="389FEF8B" w14:textId="77777777" w:rsidR="00030303" w:rsidRPr="00DB2B77" w:rsidRDefault="00030303" w:rsidP="00030303">
            <w:pPr>
              <w:shd w:val="clear" w:color="auto" w:fill="FFFFFF"/>
              <w:spacing w:after="0" w:line="240" w:lineRule="auto"/>
              <w:rPr>
                <w:rFonts w:asciiTheme="minorHAnsi" w:eastAsia="Times New Roman" w:hAnsiTheme="minorHAnsi" w:cstheme="minorHAnsi"/>
                <w:w w:val="100"/>
                <w:kern w:val="0"/>
                <w:sz w:val="19"/>
                <w:szCs w:val="19"/>
                <w:highlight w:val="yellow"/>
                <w:lang w:eastAsia="en-AU"/>
              </w:rPr>
            </w:pPr>
          </w:p>
        </w:tc>
        <w:tc>
          <w:tcPr>
            <w:tcW w:w="477" w:type="pct"/>
            <w:tcBorders>
              <w:top w:val="single" w:sz="4" w:space="0" w:color="auto"/>
              <w:left w:val="nil"/>
              <w:bottom w:val="single" w:sz="4" w:space="0" w:color="auto"/>
              <w:right w:val="nil"/>
            </w:tcBorders>
            <w:vAlign w:val="top"/>
          </w:tcPr>
          <w:p w14:paraId="6AB575B8" w14:textId="77777777" w:rsidR="00030303" w:rsidRPr="00DB2B77" w:rsidRDefault="00030303" w:rsidP="00030303">
            <w:pPr>
              <w:spacing w:before="60" w:after="60" w:line="240" w:lineRule="atLeast"/>
              <w:rPr>
                <w:rFonts w:asciiTheme="minorHAnsi" w:eastAsia="Times New Roman" w:hAnsiTheme="minorHAnsi" w:cstheme="minorHAnsi"/>
                <w:w w:val="100"/>
                <w:kern w:val="0"/>
                <w:sz w:val="19"/>
                <w:szCs w:val="19"/>
                <w:highlight w:val="yellow"/>
                <w:lang w:eastAsia="en-AU"/>
              </w:rPr>
            </w:pPr>
          </w:p>
        </w:tc>
        <w:tc>
          <w:tcPr>
            <w:tcW w:w="514" w:type="pct"/>
            <w:tcBorders>
              <w:top w:val="single" w:sz="4" w:space="0" w:color="auto"/>
              <w:left w:val="nil"/>
              <w:bottom w:val="single" w:sz="4" w:space="0" w:color="auto"/>
              <w:right w:val="single" w:sz="4" w:space="0" w:color="auto"/>
            </w:tcBorders>
            <w:vAlign w:val="top"/>
            <w:hideMark/>
          </w:tcPr>
          <w:p w14:paraId="4E7205F5" w14:textId="77777777" w:rsidR="00030303" w:rsidRPr="00DB2B77" w:rsidRDefault="00030303" w:rsidP="00030303">
            <w:pPr>
              <w:spacing w:before="60" w:after="60" w:line="240" w:lineRule="atLeast"/>
              <w:rPr>
                <w:rFonts w:asciiTheme="minorHAnsi" w:eastAsia="Times New Roman" w:hAnsiTheme="minorHAnsi" w:cstheme="minorHAnsi"/>
                <w:w w:val="100"/>
                <w:kern w:val="0"/>
                <w:sz w:val="19"/>
                <w:szCs w:val="19"/>
                <w:lang w:eastAsia="en-AU"/>
              </w:rPr>
            </w:pPr>
            <w:r w:rsidRPr="00DB2B77">
              <w:rPr>
                <w:rFonts w:asciiTheme="minorHAnsi" w:eastAsia="Times New Roman" w:hAnsiTheme="minorHAnsi" w:cstheme="minorHAnsi"/>
                <w:w w:val="100"/>
                <w:kern w:val="0"/>
                <w:sz w:val="19"/>
                <w:szCs w:val="19"/>
                <w:lang w:eastAsia="en-AU"/>
              </w:rPr>
              <w:t xml:space="preserve">A person who threatens or insults any witness summoned to attend or appearing before a Commission is in contempt of the Commission (s 15A(1)(a)(iii)). </w:t>
            </w:r>
          </w:p>
        </w:tc>
      </w:tr>
      <w:tr w:rsidR="00030303" w:rsidRPr="00DB2B77" w14:paraId="3EA8F908" w14:textId="77777777" w:rsidTr="00030303">
        <w:tc>
          <w:tcPr>
            <w:tcW w:w="467" w:type="pct"/>
            <w:tcBorders>
              <w:top w:val="single" w:sz="4" w:space="0" w:color="auto"/>
              <w:left w:val="single" w:sz="4" w:space="0" w:color="auto"/>
              <w:bottom w:val="single" w:sz="4" w:space="0" w:color="auto"/>
              <w:right w:val="nil"/>
            </w:tcBorders>
            <w:vAlign w:val="top"/>
            <w:hideMark/>
          </w:tcPr>
          <w:p w14:paraId="5B7162DA" w14:textId="77777777" w:rsidR="00030303" w:rsidRPr="00DB2B77" w:rsidRDefault="00030303" w:rsidP="00030303">
            <w:pPr>
              <w:spacing w:before="60" w:after="60" w:line="240" w:lineRule="atLeast"/>
              <w:rPr>
                <w:rFonts w:asciiTheme="minorHAnsi" w:eastAsia="Times New Roman" w:hAnsiTheme="minorHAnsi" w:cstheme="minorHAnsi"/>
                <w:b/>
                <w:w w:val="100"/>
                <w:kern w:val="0"/>
                <w:sz w:val="19"/>
                <w:szCs w:val="19"/>
                <w:lang w:eastAsia="en-AU"/>
              </w:rPr>
            </w:pPr>
            <w:r w:rsidRPr="00DB2B77">
              <w:rPr>
                <w:rFonts w:asciiTheme="minorHAnsi" w:eastAsia="Times New Roman" w:hAnsiTheme="minorHAnsi" w:cstheme="minorHAnsi"/>
                <w:b/>
                <w:w w:val="100"/>
                <w:kern w:val="0"/>
                <w:sz w:val="19"/>
                <w:szCs w:val="19"/>
                <w:lang w:eastAsia="en-AU"/>
              </w:rPr>
              <w:lastRenderedPageBreak/>
              <w:t>Bribery of witness</w:t>
            </w:r>
          </w:p>
        </w:tc>
        <w:tc>
          <w:tcPr>
            <w:tcW w:w="503" w:type="pct"/>
            <w:tcBorders>
              <w:top w:val="single" w:sz="4" w:space="0" w:color="auto"/>
              <w:left w:val="nil"/>
              <w:bottom w:val="single" w:sz="4" w:space="0" w:color="auto"/>
              <w:right w:val="nil"/>
            </w:tcBorders>
            <w:shd w:val="clear" w:color="auto" w:fill="D9D9D9"/>
            <w:vAlign w:val="top"/>
          </w:tcPr>
          <w:p w14:paraId="27EA19B7" w14:textId="77777777" w:rsidR="00030303" w:rsidRPr="00DB2B77" w:rsidRDefault="00030303" w:rsidP="00030303">
            <w:pPr>
              <w:spacing w:before="60" w:after="60" w:line="240" w:lineRule="atLeast"/>
              <w:rPr>
                <w:rFonts w:asciiTheme="minorHAnsi" w:eastAsia="Times New Roman" w:hAnsiTheme="minorHAnsi" w:cstheme="minorHAnsi"/>
                <w:w w:val="100"/>
                <w:kern w:val="0"/>
                <w:sz w:val="19"/>
                <w:szCs w:val="19"/>
                <w:lang w:eastAsia="en-AU"/>
              </w:rPr>
            </w:pPr>
            <w:r w:rsidRPr="00DB2B77">
              <w:rPr>
                <w:rFonts w:asciiTheme="minorHAnsi" w:eastAsia="Times New Roman" w:hAnsiTheme="minorHAnsi" w:cstheme="minorHAnsi"/>
                <w:w w:val="100"/>
                <w:kern w:val="0"/>
                <w:sz w:val="19"/>
                <w:szCs w:val="19"/>
                <w:lang w:eastAsia="en-AU"/>
              </w:rPr>
              <w:t>It is an offence for a person to offer/provide a benefit to another person on the basis that any person called or to be called as a witness will give false testimony or withhold true testimony, or to attempt to induce a person to give testimony in that manner, or to seek any benefit for themselves or any other person on the same basis (s 6</w:t>
            </w:r>
            <w:proofErr w:type="gramStart"/>
            <w:r w:rsidRPr="00DB2B77">
              <w:rPr>
                <w:rFonts w:asciiTheme="minorHAnsi" w:eastAsia="Times New Roman" w:hAnsiTheme="minorHAnsi" w:cstheme="minorHAnsi"/>
                <w:w w:val="100"/>
                <w:kern w:val="0"/>
                <w:sz w:val="19"/>
                <w:szCs w:val="19"/>
                <w:lang w:eastAsia="en-AU"/>
              </w:rPr>
              <w:t>I(</w:t>
            </w:r>
            <w:proofErr w:type="gramEnd"/>
            <w:r w:rsidRPr="00DB2B77">
              <w:rPr>
                <w:rFonts w:asciiTheme="minorHAnsi" w:eastAsia="Times New Roman" w:hAnsiTheme="minorHAnsi" w:cstheme="minorHAnsi"/>
                <w:w w:val="100"/>
                <w:kern w:val="0"/>
                <w:sz w:val="19"/>
                <w:szCs w:val="19"/>
                <w:lang w:eastAsia="en-AU"/>
              </w:rPr>
              <w:t>1)).</w:t>
            </w:r>
            <w:r w:rsidRPr="00DB2B77">
              <w:rPr>
                <w:rFonts w:asciiTheme="minorHAnsi" w:eastAsia="Times New Roman" w:hAnsiTheme="minorHAnsi" w:cstheme="minorHAnsi"/>
                <w:w w:val="100"/>
                <w:kern w:val="0"/>
                <w:sz w:val="19"/>
                <w:szCs w:val="19"/>
                <w:vertAlign w:val="superscript"/>
                <w:lang w:eastAsia="en-AU"/>
              </w:rPr>
              <w:footnoteReference w:id="34"/>
            </w:r>
            <w:r w:rsidRPr="00DB2B77">
              <w:rPr>
                <w:rFonts w:asciiTheme="minorHAnsi" w:eastAsia="Times New Roman" w:hAnsiTheme="minorHAnsi" w:cstheme="minorHAnsi"/>
                <w:w w:val="100"/>
                <w:kern w:val="0"/>
                <w:sz w:val="19"/>
                <w:szCs w:val="19"/>
                <w:lang w:eastAsia="en-AU"/>
              </w:rPr>
              <w:t xml:space="preserve"> </w:t>
            </w:r>
          </w:p>
          <w:p w14:paraId="5AE9571F" w14:textId="77777777" w:rsidR="00030303" w:rsidRPr="00DB2B77" w:rsidRDefault="00030303" w:rsidP="00030303">
            <w:pPr>
              <w:spacing w:before="60" w:after="60" w:line="240" w:lineRule="atLeast"/>
              <w:rPr>
                <w:rFonts w:asciiTheme="minorHAnsi" w:eastAsia="Times New Roman" w:hAnsiTheme="minorHAnsi" w:cstheme="minorHAnsi"/>
                <w:w w:val="100"/>
                <w:kern w:val="0"/>
                <w:sz w:val="19"/>
                <w:szCs w:val="19"/>
                <w:lang w:eastAsia="en-AU"/>
              </w:rPr>
            </w:pPr>
          </w:p>
          <w:p w14:paraId="44C031B4" w14:textId="77777777" w:rsidR="00030303" w:rsidRPr="00DB2B77" w:rsidRDefault="00030303" w:rsidP="00030303">
            <w:pPr>
              <w:spacing w:before="60" w:after="60" w:line="240" w:lineRule="atLeast"/>
              <w:rPr>
                <w:rFonts w:asciiTheme="minorHAnsi" w:eastAsia="Times New Roman" w:hAnsiTheme="minorHAnsi" w:cstheme="minorHAnsi"/>
                <w:w w:val="100"/>
                <w:kern w:val="0"/>
                <w:sz w:val="19"/>
                <w:szCs w:val="19"/>
                <w:lang w:eastAsia="en-AU"/>
              </w:rPr>
            </w:pPr>
            <w:r w:rsidRPr="00DB2B77">
              <w:rPr>
                <w:rFonts w:asciiTheme="minorHAnsi" w:eastAsia="Times New Roman" w:hAnsiTheme="minorHAnsi" w:cstheme="minorHAnsi"/>
                <w:w w:val="100"/>
                <w:kern w:val="0"/>
                <w:sz w:val="19"/>
                <w:szCs w:val="19"/>
                <w:lang w:eastAsia="en-AU"/>
              </w:rPr>
              <w:t xml:space="preserve">Equivalent for someone not complying with </w:t>
            </w:r>
            <w:r w:rsidRPr="00DB2B77">
              <w:rPr>
                <w:rFonts w:asciiTheme="minorHAnsi" w:eastAsia="Times New Roman" w:hAnsiTheme="minorHAnsi" w:cstheme="minorHAnsi"/>
                <w:w w:val="100"/>
                <w:kern w:val="0"/>
                <w:sz w:val="19"/>
                <w:szCs w:val="19"/>
                <w:lang w:eastAsia="en-AU"/>
              </w:rPr>
              <w:lastRenderedPageBreak/>
              <w:t>a requirement to produce a document/thing or provide information/a statement: s 6</w:t>
            </w:r>
            <w:proofErr w:type="gramStart"/>
            <w:r w:rsidRPr="00DB2B77">
              <w:rPr>
                <w:rFonts w:asciiTheme="minorHAnsi" w:eastAsia="Times New Roman" w:hAnsiTheme="minorHAnsi" w:cstheme="minorHAnsi"/>
                <w:w w:val="100"/>
                <w:kern w:val="0"/>
                <w:sz w:val="19"/>
                <w:szCs w:val="19"/>
                <w:lang w:eastAsia="en-AU"/>
              </w:rPr>
              <w:t>I(</w:t>
            </w:r>
            <w:proofErr w:type="gramEnd"/>
            <w:r w:rsidRPr="00DB2B77">
              <w:rPr>
                <w:rFonts w:asciiTheme="minorHAnsi" w:eastAsia="Times New Roman" w:hAnsiTheme="minorHAnsi" w:cstheme="minorHAnsi"/>
                <w:w w:val="100"/>
                <w:kern w:val="0"/>
                <w:sz w:val="19"/>
                <w:szCs w:val="19"/>
                <w:lang w:eastAsia="en-AU"/>
              </w:rPr>
              <w:t>2).</w:t>
            </w:r>
          </w:p>
        </w:tc>
        <w:tc>
          <w:tcPr>
            <w:tcW w:w="504" w:type="pct"/>
            <w:tcBorders>
              <w:top w:val="single" w:sz="4" w:space="0" w:color="auto"/>
              <w:left w:val="nil"/>
              <w:bottom w:val="single" w:sz="4" w:space="0" w:color="auto"/>
              <w:right w:val="nil"/>
            </w:tcBorders>
            <w:vAlign w:val="top"/>
          </w:tcPr>
          <w:p w14:paraId="1C3FA062" w14:textId="77777777" w:rsidR="00030303" w:rsidRPr="00DB2B77" w:rsidRDefault="00030303" w:rsidP="00030303">
            <w:pPr>
              <w:spacing w:before="60" w:after="60" w:line="240" w:lineRule="atLeast"/>
              <w:rPr>
                <w:rFonts w:asciiTheme="minorHAnsi" w:eastAsia="Times New Roman" w:hAnsiTheme="minorHAnsi" w:cstheme="minorHAnsi"/>
                <w:w w:val="100"/>
                <w:kern w:val="0"/>
                <w:sz w:val="19"/>
                <w:szCs w:val="19"/>
                <w:lang w:eastAsia="en-AU"/>
              </w:rPr>
            </w:pPr>
            <w:r w:rsidRPr="00DB2B77">
              <w:rPr>
                <w:rFonts w:asciiTheme="minorHAnsi" w:eastAsia="Times New Roman" w:hAnsiTheme="minorHAnsi" w:cstheme="minorHAnsi"/>
                <w:w w:val="100"/>
                <w:kern w:val="0"/>
                <w:sz w:val="19"/>
                <w:szCs w:val="19"/>
                <w:lang w:eastAsia="en-AU"/>
              </w:rPr>
              <w:lastRenderedPageBreak/>
              <w:t>It is an offence for a person to offer/provide a benefit to another person with the intention that the other person or a third person will not attend as a witness or give false or misleading evidence or withhold true evidence (</w:t>
            </w:r>
            <w:r w:rsidRPr="00DB2B77">
              <w:rPr>
                <w:rFonts w:asciiTheme="minorHAnsi" w:eastAsia="Times New Roman" w:hAnsiTheme="minorHAnsi" w:cstheme="minorHAnsi"/>
                <w:i/>
                <w:w w:val="100"/>
                <w:kern w:val="0"/>
                <w:sz w:val="19"/>
                <w:szCs w:val="19"/>
                <w:lang w:eastAsia="en-AU"/>
              </w:rPr>
              <w:t xml:space="preserve">Criminal Code 2002 </w:t>
            </w:r>
            <w:r w:rsidRPr="00DB2B77">
              <w:rPr>
                <w:rFonts w:asciiTheme="minorHAnsi" w:eastAsia="Times New Roman" w:hAnsiTheme="minorHAnsi" w:cstheme="minorHAnsi"/>
                <w:w w:val="100"/>
                <w:kern w:val="0"/>
                <w:sz w:val="19"/>
                <w:szCs w:val="19"/>
                <w:lang w:eastAsia="en-AU"/>
              </w:rPr>
              <w:t>(ACT), s 707(1)).</w:t>
            </w:r>
          </w:p>
          <w:p w14:paraId="4FF888D9" w14:textId="77777777" w:rsidR="00030303" w:rsidRPr="00DB2B77" w:rsidRDefault="00030303" w:rsidP="00030303">
            <w:pPr>
              <w:spacing w:before="60" w:after="60" w:line="240" w:lineRule="atLeast"/>
              <w:rPr>
                <w:rFonts w:asciiTheme="minorHAnsi" w:eastAsia="Times New Roman" w:hAnsiTheme="minorHAnsi" w:cstheme="minorHAnsi"/>
                <w:w w:val="100"/>
                <w:kern w:val="0"/>
                <w:sz w:val="19"/>
                <w:szCs w:val="19"/>
                <w:lang w:eastAsia="en-AU"/>
              </w:rPr>
            </w:pPr>
          </w:p>
          <w:p w14:paraId="0CA6BDFC" w14:textId="77777777" w:rsidR="00030303" w:rsidRPr="00DB2B77" w:rsidRDefault="00030303" w:rsidP="00030303">
            <w:pPr>
              <w:spacing w:before="60" w:after="60" w:line="240" w:lineRule="atLeast"/>
              <w:rPr>
                <w:rFonts w:asciiTheme="minorHAnsi" w:eastAsia="Times New Roman" w:hAnsiTheme="minorHAnsi" w:cstheme="minorHAnsi"/>
                <w:w w:val="100"/>
                <w:kern w:val="0"/>
                <w:sz w:val="19"/>
                <w:szCs w:val="19"/>
                <w:lang w:eastAsia="en-AU"/>
              </w:rPr>
            </w:pPr>
            <w:r w:rsidRPr="00DB2B77">
              <w:rPr>
                <w:rFonts w:asciiTheme="minorHAnsi" w:eastAsia="Times New Roman" w:hAnsiTheme="minorHAnsi" w:cstheme="minorHAnsi"/>
                <w:w w:val="100"/>
                <w:kern w:val="0"/>
                <w:sz w:val="19"/>
                <w:szCs w:val="19"/>
                <w:lang w:eastAsia="en-AU"/>
              </w:rPr>
              <w:t xml:space="preserve">It is an offence for a person to seek/obtain a benefit for the person or another </w:t>
            </w:r>
            <w:r w:rsidRPr="00DB2B77">
              <w:rPr>
                <w:rFonts w:asciiTheme="minorHAnsi" w:eastAsia="Times New Roman" w:hAnsiTheme="minorHAnsi" w:cstheme="minorHAnsi"/>
                <w:w w:val="100"/>
                <w:kern w:val="0"/>
                <w:sz w:val="19"/>
                <w:szCs w:val="19"/>
                <w:lang w:eastAsia="en-AU"/>
              </w:rPr>
              <w:lastRenderedPageBreak/>
              <w:t>person with the intention of, or intention of inducing etc, the person or another person to not attend as a witness or give false or misleading evidence or withhold true evidence (</w:t>
            </w:r>
            <w:r w:rsidRPr="00DB2B77">
              <w:rPr>
                <w:rFonts w:asciiTheme="minorHAnsi" w:eastAsia="Times New Roman" w:hAnsiTheme="minorHAnsi" w:cstheme="minorHAnsi"/>
                <w:i/>
                <w:w w:val="100"/>
                <w:kern w:val="0"/>
                <w:sz w:val="19"/>
                <w:szCs w:val="19"/>
                <w:lang w:eastAsia="en-AU"/>
              </w:rPr>
              <w:t xml:space="preserve">Criminal Code 2002 </w:t>
            </w:r>
            <w:r w:rsidRPr="00DB2B77">
              <w:rPr>
                <w:rFonts w:asciiTheme="minorHAnsi" w:eastAsia="Times New Roman" w:hAnsiTheme="minorHAnsi" w:cstheme="minorHAnsi"/>
                <w:w w:val="100"/>
                <w:kern w:val="0"/>
                <w:sz w:val="19"/>
                <w:szCs w:val="19"/>
                <w:lang w:eastAsia="en-AU"/>
              </w:rPr>
              <w:t>(ACT), s 707(2)).</w:t>
            </w:r>
          </w:p>
        </w:tc>
        <w:tc>
          <w:tcPr>
            <w:tcW w:w="504" w:type="pct"/>
            <w:tcBorders>
              <w:top w:val="single" w:sz="4" w:space="0" w:color="auto"/>
              <w:left w:val="nil"/>
              <w:bottom w:val="single" w:sz="4" w:space="0" w:color="auto"/>
              <w:right w:val="nil"/>
            </w:tcBorders>
            <w:vAlign w:val="top"/>
            <w:hideMark/>
          </w:tcPr>
          <w:p w14:paraId="73D31528" w14:textId="77777777" w:rsidR="00030303" w:rsidRPr="00DB2B77" w:rsidRDefault="00030303" w:rsidP="00030303">
            <w:pPr>
              <w:spacing w:before="60" w:after="60" w:line="240" w:lineRule="atLeast"/>
              <w:rPr>
                <w:rFonts w:asciiTheme="minorHAnsi" w:eastAsia="Times New Roman" w:hAnsiTheme="minorHAnsi" w:cstheme="minorHAnsi"/>
                <w:w w:val="100"/>
                <w:kern w:val="0"/>
                <w:sz w:val="19"/>
                <w:szCs w:val="19"/>
                <w:lang w:eastAsia="en-AU"/>
              </w:rPr>
            </w:pPr>
            <w:r w:rsidRPr="00DB2B77">
              <w:rPr>
                <w:rFonts w:asciiTheme="minorHAnsi" w:eastAsia="Times New Roman" w:hAnsiTheme="minorHAnsi" w:cstheme="minorHAnsi"/>
                <w:w w:val="100"/>
                <w:kern w:val="0"/>
                <w:sz w:val="19"/>
                <w:szCs w:val="19"/>
                <w:lang w:eastAsia="en-AU"/>
              </w:rPr>
              <w:lastRenderedPageBreak/>
              <w:t>N/A</w:t>
            </w:r>
          </w:p>
        </w:tc>
        <w:tc>
          <w:tcPr>
            <w:tcW w:w="504" w:type="pct"/>
            <w:tcBorders>
              <w:top w:val="single" w:sz="4" w:space="0" w:color="auto"/>
              <w:left w:val="nil"/>
              <w:bottom w:val="single" w:sz="4" w:space="0" w:color="auto"/>
              <w:right w:val="nil"/>
            </w:tcBorders>
            <w:vAlign w:val="top"/>
            <w:hideMark/>
          </w:tcPr>
          <w:p w14:paraId="03DF8A9C" w14:textId="77777777" w:rsidR="00030303" w:rsidRPr="00DB2B77" w:rsidRDefault="00030303" w:rsidP="00030303">
            <w:pPr>
              <w:spacing w:before="60" w:after="60" w:line="240" w:lineRule="atLeast"/>
              <w:rPr>
                <w:rFonts w:asciiTheme="minorHAnsi" w:eastAsia="Times New Roman" w:hAnsiTheme="minorHAnsi" w:cstheme="minorHAnsi"/>
                <w:w w:val="100"/>
                <w:kern w:val="0"/>
                <w:sz w:val="19"/>
                <w:szCs w:val="19"/>
                <w:lang w:eastAsia="en-AU"/>
              </w:rPr>
            </w:pPr>
            <w:r w:rsidRPr="00DB2B77">
              <w:rPr>
                <w:rFonts w:asciiTheme="minorHAnsi" w:eastAsia="Times New Roman" w:hAnsiTheme="minorHAnsi" w:cstheme="minorHAnsi"/>
                <w:w w:val="100"/>
                <w:kern w:val="0"/>
                <w:sz w:val="19"/>
                <w:szCs w:val="19"/>
                <w:lang w:eastAsia="en-AU"/>
              </w:rPr>
              <w:t>N/A</w:t>
            </w:r>
          </w:p>
        </w:tc>
        <w:tc>
          <w:tcPr>
            <w:tcW w:w="509" w:type="pct"/>
            <w:tcBorders>
              <w:top w:val="single" w:sz="4" w:space="0" w:color="auto"/>
              <w:left w:val="nil"/>
              <w:bottom w:val="single" w:sz="4" w:space="0" w:color="auto"/>
              <w:right w:val="nil"/>
            </w:tcBorders>
            <w:vAlign w:val="top"/>
            <w:hideMark/>
          </w:tcPr>
          <w:p w14:paraId="31D52584" w14:textId="77777777" w:rsidR="00030303" w:rsidRPr="00DB2B77" w:rsidRDefault="00030303" w:rsidP="00030303">
            <w:pPr>
              <w:spacing w:before="60" w:after="60" w:line="240" w:lineRule="atLeast"/>
              <w:rPr>
                <w:rFonts w:asciiTheme="minorHAnsi" w:eastAsia="Times New Roman" w:hAnsiTheme="minorHAnsi" w:cstheme="minorHAnsi"/>
                <w:w w:val="100"/>
                <w:kern w:val="0"/>
                <w:sz w:val="19"/>
                <w:szCs w:val="19"/>
                <w:lang w:eastAsia="en-AU"/>
              </w:rPr>
            </w:pPr>
            <w:r w:rsidRPr="00DB2B77">
              <w:rPr>
                <w:rFonts w:asciiTheme="minorHAnsi" w:eastAsia="Times New Roman" w:hAnsiTheme="minorHAnsi" w:cstheme="minorHAnsi"/>
                <w:w w:val="100"/>
                <w:kern w:val="0"/>
                <w:sz w:val="19"/>
                <w:szCs w:val="19"/>
                <w:lang w:eastAsia="en-AU"/>
              </w:rPr>
              <w:t>It is an offence for a person to offer/provide a benefit to another person on the basis that any person called or to be called as a witness will give false testimony or withhold true testimony, or to attempt to induce a person to give testimony in that manner, or to seek any benefit for themselves or any other person on the same basis (</w:t>
            </w:r>
            <w:r w:rsidRPr="00DB2B77">
              <w:rPr>
                <w:rFonts w:asciiTheme="minorHAnsi" w:eastAsia="Times New Roman" w:hAnsiTheme="minorHAnsi" w:cstheme="minorHAnsi"/>
                <w:i/>
                <w:w w:val="100"/>
                <w:kern w:val="0"/>
                <w:sz w:val="19"/>
                <w:szCs w:val="19"/>
                <w:lang w:eastAsia="en-AU"/>
              </w:rPr>
              <w:t xml:space="preserve">Criminal Code </w:t>
            </w:r>
            <w:r w:rsidRPr="00DB2B77">
              <w:rPr>
                <w:rFonts w:asciiTheme="minorHAnsi" w:eastAsia="Times New Roman" w:hAnsiTheme="minorHAnsi" w:cstheme="minorHAnsi"/>
                <w:w w:val="100"/>
                <w:kern w:val="0"/>
                <w:sz w:val="19"/>
                <w:szCs w:val="19"/>
                <w:lang w:eastAsia="en-AU"/>
              </w:rPr>
              <w:t>(Qld), s 127).</w:t>
            </w:r>
            <w:r w:rsidRPr="00DB2B77">
              <w:rPr>
                <w:rFonts w:asciiTheme="minorHAnsi" w:eastAsia="Times New Roman" w:hAnsiTheme="minorHAnsi" w:cstheme="minorHAnsi"/>
                <w:w w:val="100"/>
                <w:kern w:val="0"/>
                <w:sz w:val="19"/>
                <w:szCs w:val="19"/>
                <w:vertAlign w:val="superscript"/>
                <w:lang w:eastAsia="en-AU"/>
              </w:rPr>
              <w:footnoteReference w:id="35"/>
            </w:r>
            <w:r w:rsidRPr="00DB2B77">
              <w:rPr>
                <w:rFonts w:asciiTheme="minorHAnsi" w:eastAsia="Times New Roman" w:hAnsiTheme="minorHAnsi" w:cstheme="minorHAnsi"/>
                <w:w w:val="100"/>
                <w:kern w:val="0"/>
                <w:sz w:val="19"/>
                <w:szCs w:val="19"/>
                <w:lang w:eastAsia="en-AU"/>
              </w:rPr>
              <w:t xml:space="preserve"> </w:t>
            </w:r>
          </w:p>
        </w:tc>
        <w:tc>
          <w:tcPr>
            <w:tcW w:w="514" w:type="pct"/>
            <w:tcBorders>
              <w:top w:val="single" w:sz="4" w:space="0" w:color="auto"/>
              <w:left w:val="nil"/>
              <w:bottom w:val="single" w:sz="4" w:space="0" w:color="auto"/>
              <w:right w:val="nil"/>
            </w:tcBorders>
            <w:vAlign w:val="top"/>
            <w:hideMark/>
          </w:tcPr>
          <w:p w14:paraId="590CFE30" w14:textId="77777777" w:rsidR="00030303" w:rsidRPr="00DB2B77" w:rsidRDefault="00030303" w:rsidP="00030303">
            <w:pPr>
              <w:spacing w:before="60" w:after="60" w:line="240" w:lineRule="atLeast"/>
              <w:rPr>
                <w:rFonts w:asciiTheme="minorHAnsi" w:eastAsia="Times New Roman" w:hAnsiTheme="minorHAnsi" w:cstheme="minorHAnsi"/>
                <w:w w:val="100"/>
                <w:kern w:val="0"/>
                <w:sz w:val="19"/>
                <w:szCs w:val="19"/>
                <w:lang w:eastAsia="en-AU"/>
              </w:rPr>
            </w:pPr>
            <w:r w:rsidRPr="00DB2B77">
              <w:rPr>
                <w:rFonts w:asciiTheme="minorHAnsi" w:eastAsia="Times New Roman" w:hAnsiTheme="minorHAnsi" w:cstheme="minorHAnsi"/>
                <w:w w:val="100"/>
                <w:kern w:val="0"/>
                <w:sz w:val="19"/>
                <w:szCs w:val="19"/>
                <w:lang w:eastAsia="en-AU"/>
              </w:rPr>
              <w:t>N/A</w:t>
            </w:r>
          </w:p>
        </w:tc>
        <w:tc>
          <w:tcPr>
            <w:tcW w:w="504" w:type="pct"/>
            <w:tcBorders>
              <w:top w:val="single" w:sz="4" w:space="0" w:color="auto"/>
              <w:left w:val="nil"/>
              <w:bottom w:val="single" w:sz="4" w:space="0" w:color="auto"/>
              <w:right w:val="nil"/>
            </w:tcBorders>
            <w:vAlign w:val="top"/>
            <w:hideMark/>
          </w:tcPr>
          <w:p w14:paraId="62804AFB" w14:textId="77777777" w:rsidR="00030303" w:rsidRPr="00DB2B77" w:rsidRDefault="00030303" w:rsidP="00030303">
            <w:pPr>
              <w:spacing w:before="60" w:after="60" w:line="240" w:lineRule="atLeast"/>
              <w:rPr>
                <w:rFonts w:asciiTheme="minorHAnsi" w:eastAsia="Times New Roman" w:hAnsiTheme="minorHAnsi" w:cstheme="minorHAnsi"/>
                <w:w w:val="100"/>
                <w:kern w:val="0"/>
                <w:sz w:val="19"/>
                <w:szCs w:val="19"/>
                <w:lang w:eastAsia="en-AU"/>
              </w:rPr>
            </w:pPr>
            <w:r w:rsidRPr="00DB2B77">
              <w:rPr>
                <w:rFonts w:asciiTheme="minorHAnsi" w:eastAsia="Times New Roman" w:hAnsiTheme="minorHAnsi" w:cstheme="minorHAnsi"/>
                <w:w w:val="100"/>
                <w:kern w:val="0"/>
                <w:sz w:val="19"/>
                <w:szCs w:val="19"/>
                <w:lang w:eastAsia="en-AU"/>
              </w:rPr>
              <w:t>N/A</w:t>
            </w:r>
          </w:p>
        </w:tc>
        <w:tc>
          <w:tcPr>
            <w:tcW w:w="477" w:type="pct"/>
            <w:tcBorders>
              <w:top w:val="single" w:sz="4" w:space="0" w:color="auto"/>
              <w:left w:val="nil"/>
              <w:bottom w:val="single" w:sz="4" w:space="0" w:color="auto"/>
              <w:right w:val="nil"/>
            </w:tcBorders>
            <w:vAlign w:val="top"/>
            <w:hideMark/>
          </w:tcPr>
          <w:p w14:paraId="6EC96D53" w14:textId="77777777" w:rsidR="00030303" w:rsidRPr="00DB2B77" w:rsidRDefault="00030303" w:rsidP="00030303">
            <w:pPr>
              <w:spacing w:before="60" w:after="60" w:line="240" w:lineRule="atLeast"/>
              <w:rPr>
                <w:rFonts w:asciiTheme="minorHAnsi" w:eastAsia="Times New Roman" w:hAnsiTheme="minorHAnsi" w:cstheme="minorHAnsi"/>
                <w:w w:val="100"/>
                <w:kern w:val="0"/>
                <w:sz w:val="19"/>
                <w:szCs w:val="19"/>
                <w:lang w:eastAsia="en-AU"/>
              </w:rPr>
            </w:pPr>
            <w:r w:rsidRPr="00DB2B77">
              <w:rPr>
                <w:rFonts w:asciiTheme="minorHAnsi" w:eastAsia="Times New Roman" w:hAnsiTheme="minorHAnsi" w:cstheme="minorHAnsi"/>
                <w:w w:val="100"/>
                <w:kern w:val="0"/>
                <w:sz w:val="19"/>
                <w:szCs w:val="19"/>
                <w:lang w:eastAsia="en-AU"/>
              </w:rPr>
              <w:t>N/A</w:t>
            </w:r>
          </w:p>
        </w:tc>
        <w:tc>
          <w:tcPr>
            <w:tcW w:w="514" w:type="pct"/>
            <w:tcBorders>
              <w:top w:val="single" w:sz="4" w:space="0" w:color="auto"/>
              <w:left w:val="nil"/>
              <w:bottom w:val="single" w:sz="4" w:space="0" w:color="auto"/>
              <w:right w:val="single" w:sz="4" w:space="0" w:color="auto"/>
            </w:tcBorders>
            <w:vAlign w:val="top"/>
            <w:hideMark/>
          </w:tcPr>
          <w:p w14:paraId="407409CE" w14:textId="77777777" w:rsidR="00030303" w:rsidRPr="00DB2B77" w:rsidRDefault="00030303" w:rsidP="00030303">
            <w:pPr>
              <w:spacing w:before="60" w:after="60" w:line="240" w:lineRule="atLeast"/>
              <w:rPr>
                <w:rFonts w:asciiTheme="minorHAnsi" w:eastAsia="Times New Roman" w:hAnsiTheme="minorHAnsi" w:cstheme="minorHAnsi"/>
                <w:w w:val="100"/>
                <w:kern w:val="0"/>
                <w:sz w:val="19"/>
                <w:szCs w:val="19"/>
                <w:lang w:eastAsia="en-AU"/>
              </w:rPr>
            </w:pPr>
            <w:r w:rsidRPr="00DB2B77">
              <w:rPr>
                <w:rFonts w:asciiTheme="minorHAnsi" w:eastAsia="Times New Roman" w:hAnsiTheme="minorHAnsi" w:cstheme="minorHAnsi"/>
                <w:w w:val="100"/>
                <w:kern w:val="0"/>
                <w:sz w:val="19"/>
                <w:szCs w:val="19"/>
                <w:lang w:eastAsia="en-AU"/>
              </w:rPr>
              <w:t xml:space="preserve">It is an offence for a person to offer/provide a benefit to another person on the basis that any person called or to be called as a witness will give false testimony or withhold true testimony, or to attempt to induce a person to give testimony in that manner, or to seek any benefit for themselves or any other person on the same basis (s 25).  </w:t>
            </w:r>
          </w:p>
        </w:tc>
      </w:tr>
      <w:tr w:rsidR="00030303" w:rsidRPr="00DB2B77" w14:paraId="7981A591" w14:textId="77777777" w:rsidTr="00030303">
        <w:tc>
          <w:tcPr>
            <w:tcW w:w="467" w:type="pct"/>
            <w:tcBorders>
              <w:top w:val="single" w:sz="4" w:space="0" w:color="auto"/>
              <w:left w:val="single" w:sz="4" w:space="0" w:color="auto"/>
              <w:bottom w:val="single" w:sz="4" w:space="0" w:color="auto"/>
              <w:right w:val="nil"/>
            </w:tcBorders>
            <w:vAlign w:val="top"/>
            <w:hideMark/>
          </w:tcPr>
          <w:p w14:paraId="73666F89" w14:textId="77777777" w:rsidR="00030303" w:rsidRPr="00DB2B77" w:rsidRDefault="00030303" w:rsidP="00030303">
            <w:pPr>
              <w:spacing w:before="60" w:after="60" w:line="240" w:lineRule="atLeast"/>
              <w:rPr>
                <w:rFonts w:asciiTheme="minorHAnsi" w:eastAsia="Times New Roman" w:hAnsiTheme="minorHAnsi" w:cstheme="minorHAnsi"/>
                <w:b/>
                <w:w w:val="100"/>
                <w:kern w:val="0"/>
                <w:sz w:val="19"/>
                <w:szCs w:val="19"/>
                <w:lang w:eastAsia="en-AU"/>
              </w:rPr>
            </w:pPr>
            <w:r w:rsidRPr="00DB2B77">
              <w:rPr>
                <w:rFonts w:asciiTheme="minorHAnsi" w:eastAsia="Times New Roman" w:hAnsiTheme="minorHAnsi" w:cstheme="minorHAnsi"/>
                <w:b/>
                <w:w w:val="100"/>
                <w:kern w:val="0"/>
                <w:sz w:val="19"/>
                <w:szCs w:val="19"/>
                <w:lang w:eastAsia="en-AU"/>
              </w:rPr>
              <w:t>Fraud on witness</w:t>
            </w:r>
          </w:p>
        </w:tc>
        <w:tc>
          <w:tcPr>
            <w:tcW w:w="503" w:type="pct"/>
            <w:tcBorders>
              <w:top w:val="single" w:sz="4" w:space="0" w:color="auto"/>
              <w:left w:val="nil"/>
              <w:bottom w:val="single" w:sz="4" w:space="0" w:color="auto"/>
              <w:right w:val="nil"/>
            </w:tcBorders>
            <w:shd w:val="clear" w:color="auto" w:fill="D9D9D9"/>
            <w:vAlign w:val="top"/>
          </w:tcPr>
          <w:p w14:paraId="3BD1CD7C" w14:textId="77777777" w:rsidR="00030303" w:rsidRPr="00DB2B77" w:rsidRDefault="00030303" w:rsidP="00030303">
            <w:pPr>
              <w:spacing w:before="60" w:after="60" w:line="240" w:lineRule="atLeast"/>
              <w:rPr>
                <w:rFonts w:asciiTheme="minorHAnsi" w:eastAsia="Times New Roman" w:hAnsiTheme="minorHAnsi" w:cstheme="minorHAnsi"/>
                <w:w w:val="100"/>
                <w:kern w:val="0"/>
                <w:sz w:val="19"/>
                <w:szCs w:val="19"/>
                <w:lang w:eastAsia="en-AU"/>
              </w:rPr>
            </w:pPr>
            <w:r w:rsidRPr="00DB2B77">
              <w:rPr>
                <w:rFonts w:asciiTheme="minorHAnsi" w:eastAsia="Times New Roman" w:hAnsiTheme="minorHAnsi" w:cstheme="minorHAnsi"/>
                <w:w w:val="100"/>
                <w:kern w:val="0"/>
                <w:sz w:val="19"/>
                <w:szCs w:val="19"/>
                <w:lang w:eastAsia="en-AU"/>
              </w:rPr>
              <w:t xml:space="preserve">It is an offence for a person to practise any fraud or deceit, or intentionally make or exhibit any statement, representation, token, or writing knowing it to be false, to any person called or to be called as a </w:t>
            </w:r>
            <w:r w:rsidRPr="00DB2B77">
              <w:rPr>
                <w:rFonts w:asciiTheme="minorHAnsi" w:eastAsia="Times New Roman" w:hAnsiTheme="minorHAnsi" w:cstheme="minorHAnsi"/>
                <w:w w:val="100"/>
                <w:kern w:val="0"/>
                <w:sz w:val="19"/>
                <w:szCs w:val="19"/>
                <w:lang w:eastAsia="en-AU"/>
              </w:rPr>
              <w:lastRenderedPageBreak/>
              <w:t>witness with intent to affect the testimony of that person as a witness, or to any person given or to be given a notice to produce information or a statement with intent to affect the person’s response (s 6J(1)).</w:t>
            </w:r>
            <w:r w:rsidRPr="00DB2B77">
              <w:rPr>
                <w:rFonts w:asciiTheme="minorHAnsi" w:eastAsia="Times New Roman" w:hAnsiTheme="minorHAnsi" w:cstheme="minorHAnsi"/>
                <w:w w:val="100"/>
                <w:kern w:val="0"/>
                <w:sz w:val="19"/>
                <w:szCs w:val="19"/>
                <w:vertAlign w:val="superscript"/>
                <w:lang w:eastAsia="en-AU"/>
              </w:rPr>
              <w:footnoteReference w:id="36"/>
            </w:r>
          </w:p>
          <w:p w14:paraId="7AC4EB7B" w14:textId="77777777" w:rsidR="00030303" w:rsidRPr="00DB2B77" w:rsidRDefault="00030303" w:rsidP="00030303">
            <w:pPr>
              <w:spacing w:before="60" w:after="60" w:line="240" w:lineRule="atLeast"/>
              <w:rPr>
                <w:rFonts w:asciiTheme="minorHAnsi" w:eastAsia="Times New Roman" w:hAnsiTheme="minorHAnsi" w:cstheme="minorHAnsi"/>
                <w:w w:val="100"/>
                <w:kern w:val="0"/>
                <w:sz w:val="19"/>
                <w:szCs w:val="19"/>
                <w:lang w:eastAsia="en-AU"/>
              </w:rPr>
            </w:pPr>
          </w:p>
          <w:p w14:paraId="6F8ABAED" w14:textId="77777777" w:rsidR="00030303" w:rsidRPr="00DB2B77" w:rsidRDefault="00030303" w:rsidP="00030303">
            <w:pPr>
              <w:spacing w:before="60" w:after="60" w:line="240" w:lineRule="atLeast"/>
              <w:rPr>
                <w:rFonts w:asciiTheme="minorHAnsi" w:eastAsia="Times New Roman" w:hAnsiTheme="minorHAnsi" w:cstheme="minorHAnsi"/>
                <w:w w:val="100"/>
                <w:kern w:val="0"/>
                <w:sz w:val="19"/>
                <w:szCs w:val="19"/>
                <w:highlight w:val="yellow"/>
                <w:lang w:eastAsia="en-AU"/>
              </w:rPr>
            </w:pPr>
            <w:r w:rsidRPr="00DB2B77">
              <w:rPr>
                <w:rFonts w:asciiTheme="minorHAnsi" w:eastAsia="Times New Roman" w:hAnsiTheme="minorHAnsi" w:cstheme="minorHAnsi"/>
                <w:w w:val="100"/>
                <w:kern w:val="0"/>
                <w:sz w:val="19"/>
                <w:szCs w:val="19"/>
                <w:lang w:eastAsia="en-AU"/>
              </w:rPr>
              <w:t>Equivalent where intent that a person will not comply with a requirement to produce a document etc pursuant to a summons, requirement or notice under s 2: s 6</w:t>
            </w:r>
            <w:proofErr w:type="gramStart"/>
            <w:r w:rsidRPr="00DB2B77">
              <w:rPr>
                <w:rFonts w:asciiTheme="minorHAnsi" w:eastAsia="Times New Roman" w:hAnsiTheme="minorHAnsi" w:cstheme="minorHAnsi"/>
                <w:w w:val="100"/>
                <w:kern w:val="0"/>
                <w:sz w:val="19"/>
                <w:szCs w:val="19"/>
                <w:lang w:eastAsia="en-AU"/>
              </w:rPr>
              <w:t>J(</w:t>
            </w:r>
            <w:proofErr w:type="gramEnd"/>
            <w:r w:rsidRPr="00DB2B77">
              <w:rPr>
                <w:rFonts w:asciiTheme="minorHAnsi" w:eastAsia="Times New Roman" w:hAnsiTheme="minorHAnsi" w:cstheme="minorHAnsi"/>
                <w:w w:val="100"/>
                <w:kern w:val="0"/>
                <w:sz w:val="19"/>
                <w:szCs w:val="19"/>
                <w:lang w:eastAsia="en-AU"/>
              </w:rPr>
              <w:t>2).</w:t>
            </w:r>
          </w:p>
        </w:tc>
        <w:tc>
          <w:tcPr>
            <w:tcW w:w="504" w:type="pct"/>
            <w:tcBorders>
              <w:top w:val="single" w:sz="4" w:space="0" w:color="auto"/>
              <w:left w:val="nil"/>
              <w:bottom w:val="single" w:sz="4" w:space="0" w:color="auto"/>
              <w:right w:val="nil"/>
            </w:tcBorders>
            <w:vAlign w:val="top"/>
            <w:hideMark/>
          </w:tcPr>
          <w:p w14:paraId="38321002" w14:textId="77777777" w:rsidR="00030303" w:rsidRPr="00DB2B77" w:rsidRDefault="00030303" w:rsidP="00030303">
            <w:pPr>
              <w:spacing w:before="60" w:after="60" w:line="240" w:lineRule="atLeast"/>
              <w:rPr>
                <w:rFonts w:asciiTheme="minorHAnsi" w:eastAsia="Times New Roman" w:hAnsiTheme="minorHAnsi" w:cstheme="minorHAnsi"/>
                <w:w w:val="100"/>
                <w:kern w:val="0"/>
                <w:sz w:val="19"/>
                <w:szCs w:val="19"/>
                <w:lang w:eastAsia="en-AU"/>
              </w:rPr>
            </w:pPr>
            <w:r w:rsidRPr="00DB2B77">
              <w:rPr>
                <w:rFonts w:asciiTheme="minorHAnsi" w:eastAsia="Times New Roman" w:hAnsiTheme="minorHAnsi" w:cstheme="minorHAnsi"/>
                <w:w w:val="100"/>
                <w:kern w:val="0"/>
                <w:sz w:val="19"/>
                <w:szCs w:val="19"/>
                <w:lang w:eastAsia="en-AU"/>
              </w:rPr>
              <w:lastRenderedPageBreak/>
              <w:t xml:space="preserve">It is an offence for a person to deceive someone else with the intention that the other person or a third person will not attend as a witness, or give false or misleading </w:t>
            </w:r>
            <w:r w:rsidRPr="00DB2B77">
              <w:rPr>
                <w:rFonts w:asciiTheme="minorHAnsi" w:eastAsia="Times New Roman" w:hAnsiTheme="minorHAnsi" w:cstheme="minorHAnsi"/>
                <w:w w:val="100"/>
                <w:kern w:val="0"/>
                <w:sz w:val="19"/>
                <w:szCs w:val="19"/>
                <w:lang w:eastAsia="en-AU"/>
              </w:rPr>
              <w:lastRenderedPageBreak/>
              <w:t>evidence or withhold true evidence (</w:t>
            </w:r>
            <w:r w:rsidRPr="00DB2B77">
              <w:rPr>
                <w:rFonts w:asciiTheme="minorHAnsi" w:eastAsia="Times New Roman" w:hAnsiTheme="minorHAnsi" w:cstheme="minorHAnsi"/>
                <w:i/>
                <w:w w:val="100"/>
                <w:kern w:val="0"/>
                <w:sz w:val="19"/>
                <w:szCs w:val="19"/>
                <w:lang w:eastAsia="en-AU"/>
              </w:rPr>
              <w:t xml:space="preserve">Criminal Code 2002 </w:t>
            </w:r>
            <w:r w:rsidRPr="00DB2B77">
              <w:rPr>
                <w:rFonts w:asciiTheme="minorHAnsi" w:eastAsia="Times New Roman" w:hAnsiTheme="minorHAnsi" w:cstheme="minorHAnsi"/>
                <w:w w:val="100"/>
                <w:kern w:val="0"/>
                <w:sz w:val="19"/>
                <w:szCs w:val="19"/>
                <w:lang w:eastAsia="en-AU"/>
              </w:rPr>
              <w:t>(ACT), s 708).</w:t>
            </w:r>
          </w:p>
        </w:tc>
        <w:tc>
          <w:tcPr>
            <w:tcW w:w="504" w:type="pct"/>
            <w:tcBorders>
              <w:top w:val="single" w:sz="4" w:space="0" w:color="auto"/>
              <w:left w:val="nil"/>
              <w:bottom w:val="single" w:sz="4" w:space="0" w:color="auto"/>
              <w:right w:val="nil"/>
            </w:tcBorders>
            <w:vAlign w:val="top"/>
            <w:hideMark/>
          </w:tcPr>
          <w:p w14:paraId="739CE494" w14:textId="77777777" w:rsidR="00030303" w:rsidRPr="00DB2B77" w:rsidRDefault="00030303" w:rsidP="00030303">
            <w:pPr>
              <w:spacing w:before="60" w:after="60" w:line="240" w:lineRule="atLeast"/>
              <w:rPr>
                <w:rFonts w:asciiTheme="minorHAnsi" w:eastAsia="Times New Roman" w:hAnsiTheme="minorHAnsi" w:cstheme="minorHAnsi"/>
                <w:w w:val="100"/>
                <w:kern w:val="0"/>
                <w:sz w:val="19"/>
                <w:szCs w:val="19"/>
                <w:highlight w:val="yellow"/>
                <w:lang w:eastAsia="en-AU"/>
              </w:rPr>
            </w:pPr>
            <w:r w:rsidRPr="00DB2B77">
              <w:rPr>
                <w:rFonts w:asciiTheme="minorHAnsi" w:eastAsia="Times New Roman" w:hAnsiTheme="minorHAnsi" w:cstheme="minorHAnsi"/>
                <w:w w:val="100"/>
                <w:kern w:val="0"/>
                <w:sz w:val="19"/>
                <w:szCs w:val="19"/>
                <w:lang w:eastAsia="en-AU"/>
              </w:rPr>
              <w:lastRenderedPageBreak/>
              <w:t>N/A</w:t>
            </w:r>
          </w:p>
        </w:tc>
        <w:tc>
          <w:tcPr>
            <w:tcW w:w="504" w:type="pct"/>
            <w:tcBorders>
              <w:top w:val="single" w:sz="4" w:space="0" w:color="auto"/>
              <w:left w:val="nil"/>
              <w:bottom w:val="single" w:sz="4" w:space="0" w:color="auto"/>
              <w:right w:val="nil"/>
            </w:tcBorders>
            <w:vAlign w:val="top"/>
            <w:hideMark/>
          </w:tcPr>
          <w:p w14:paraId="64FA0962" w14:textId="77777777" w:rsidR="00030303" w:rsidRPr="00DB2B77" w:rsidRDefault="00030303" w:rsidP="00030303">
            <w:pPr>
              <w:spacing w:before="60" w:after="60" w:line="240" w:lineRule="atLeast"/>
              <w:rPr>
                <w:rFonts w:asciiTheme="minorHAnsi" w:eastAsia="Times New Roman" w:hAnsiTheme="minorHAnsi" w:cstheme="minorHAnsi"/>
                <w:w w:val="100"/>
                <w:kern w:val="0"/>
                <w:sz w:val="19"/>
                <w:szCs w:val="19"/>
                <w:highlight w:val="yellow"/>
                <w:lang w:eastAsia="en-AU"/>
              </w:rPr>
            </w:pPr>
            <w:r w:rsidRPr="00DB2B77">
              <w:rPr>
                <w:rFonts w:asciiTheme="minorHAnsi" w:eastAsia="Times New Roman" w:hAnsiTheme="minorHAnsi" w:cstheme="minorHAnsi"/>
                <w:w w:val="100"/>
                <w:kern w:val="0"/>
                <w:sz w:val="19"/>
                <w:szCs w:val="19"/>
                <w:lang w:eastAsia="en-AU"/>
              </w:rPr>
              <w:t>N/A</w:t>
            </w:r>
          </w:p>
        </w:tc>
        <w:tc>
          <w:tcPr>
            <w:tcW w:w="509" w:type="pct"/>
            <w:tcBorders>
              <w:top w:val="single" w:sz="4" w:space="0" w:color="auto"/>
              <w:left w:val="nil"/>
              <w:bottom w:val="single" w:sz="4" w:space="0" w:color="auto"/>
              <w:right w:val="nil"/>
            </w:tcBorders>
            <w:vAlign w:val="top"/>
            <w:hideMark/>
          </w:tcPr>
          <w:p w14:paraId="6746EC1C" w14:textId="77777777" w:rsidR="00030303" w:rsidRPr="00DB2B77" w:rsidRDefault="00030303" w:rsidP="00030303">
            <w:pPr>
              <w:spacing w:before="60" w:after="60" w:line="240" w:lineRule="atLeast"/>
              <w:rPr>
                <w:rFonts w:asciiTheme="minorHAnsi" w:eastAsia="Times New Roman" w:hAnsiTheme="minorHAnsi" w:cstheme="minorHAnsi"/>
                <w:w w:val="100"/>
                <w:kern w:val="0"/>
                <w:sz w:val="19"/>
                <w:szCs w:val="19"/>
                <w:lang w:eastAsia="en-AU"/>
              </w:rPr>
            </w:pPr>
            <w:r w:rsidRPr="00DB2B77">
              <w:rPr>
                <w:rFonts w:asciiTheme="minorHAnsi" w:eastAsia="Times New Roman" w:hAnsiTheme="minorHAnsi" w:cstheme="minorHAnsi"/>
                <w:w w:val="100"/>
                <w:kern w:val="0"/>
                <w:sz w:val="19"/>
                <w:szCs w:val="19"/>
                <w:lang w:eastAsia="en-AU"/>
              </w:rPr>
              <w:t xml:space="preserve">It is an offence for a person to practise any fraud or deceit, or knowingly make or exhibit any false statement, representation, token, or writing, to any person called or to be called </w:t>
            </w:r>
            <w:r w:rsidRPr="00DB2B77">
              <w:rPr>
                <w:rFonts w:asciiTheme="minorHAnsi" w:eastAsia="Times New Roman" w:hAnsiTheme="minorHAnsi" w:cstheme="minorHAnsi"/>
                <w:w w:val="100"/>
                <w:kern w:val="0"/>
                <w:sz w:val="19"/>
                <w:szCs w:val="19"/>
                <w:lang w:eastAsia="en-AU"/>
              </w:rPr>
              <w:lastRenderedPageBreak/>
              <w:t>as a witness with intent to affect the testimony of that person as a witness (</w:t>
            </w:r>
            <w:r w:rsidRPr="00DB2B77">
              <w:rPr>
                <w:rFonts w:asciiTheme="minorHAnsi" w:eastAsia="Times New Roman" w:hAnsiTheme="minorHAnsi" w:cstheme="minorHAnsi"/>
                <w:i/>
                <w:w w:val="100"/>
                <w:kern w:val="0"/>
                <w:sz w:val="19"/>
                <w:szCs w:val="19"/>
                <w:lang w:eastAsia="en-AU"/>
              </w:rPr>
              <w:t xml:space="preserve">Criminal Code </w:t>
            </w:r>
            <w:r w:rsidRPr="00DB2B77">
              <w:rPr>
                <w:rFonts w:asciiTheme="minorHAnsi" w:eastAsia="Times New Roman" w:hAnsiTheme="minorHAnsi" w:cstheme="minorHAnsi"/>
                <w:w w:val="100"/>
                <w:kern w:val="0"/>
                <w:sz w:val="19"/>
                <w:szCs w:val="19"/>
                <w:lang w:eastAsia="en-AU"/>
              </w:rPr>
              <w:t>(Qld), s 128).</w:t>
            </w:r>
            <w:r w:rsidRPr="00DB2B77">
              <w:rPr>
                <w:rFonts w:asciiTheme="minorHAnsi" w:eastAsia="Times New Roman" w:hAnsiTheme="minorHAnsi" w:cstheme="minorHAnsi"/>
                <w:w w:val="100"/>
                <w:kern w:val="0"/>
                <w:sz w:val="19"/>
                <w:szCs w:val="19"/>
                <w:vertAlign w:val="superscript"/>
                <w:lang w:eastAsia="en-AU"/>
              </w:rPr>
              <w:footnoteReference w:id="37"/>
            </w:r>
          </w:p>
        </w:tc>
        <w:tc>
          <w:tcPr>
            <w:tcW w:w="514" w:type="pct"/>
            <w:tcBorders>
              <w:top w:val="single" w:sz="4" w:space="0" w:color="auto"/>
              <w:left w:val="nil"/>
              <w:bottom w:val="single" w:sz="4" w:space="0" w:color="auto"/>
              <w:right w:val="nil"/>
            </w:tcBorders>
            <w:vAlign w:val="top"/>
            <w:hideMark/>
          </w:tcPr>
          <w:p w14:paraId="26DCE383" w14:textId="77777777" w:rsidR="00030303" w:rsidRPr="00DB2B77" w:rsidRDefault="00030303" w:rsidP="00030303">
            <w:pPr>
              <w:spacing w:before="60" w:after="60" w:line="240" w:lineRule="atLeast"/>
              <w:rPr>
                <w:rFonts w:asciiTheme="minorHAnsi" w:eastAsia="Times New Roman" w:hAnsiTheme="minorHAnsi" w:cstheme="minorHAnsi"/>
                <w:w w:val="100"/>
                <w:kern w:val="0"/>
                <w:sz w:val="19"/>
                <w:szCs w:val="19"/>
                <w:highlight w:val="yellow"/>
                <w:lang w:eastAsia="en-AU"/>
              </w:rPr>
            </w:pPr>
            <w:r w:rsidRPr="00DB2B77">
              <w:rPr>
                <w:rFonts w:asciiTheme="minorHAnsi" w:eastAsia="Times New Roman" w:hAnsiTheme="minorHAnsi" w:cstheme="minorHAnsi"/>
                <w:w w:val="100"/>
                <w:kern w:val="0"/>
                <w:sz w:val="19"/>
                <w:szCs w:val="19"/>
                <w:lang w:eastAsia="en-AU"/>
              </w:rPr>
              <w:lastRenderedPageBreak/>
              <w:t>N/A</w:t>
            </w:r>
          </w:p>
        </w:tc>
        <w:tc>
          <w:tcPr>
            <w:tcW w:w="504" w:type="pct"/>
            <w:tcBorders>
              <w:top w:val="single" w:sz="4" w:space="0" w:color="auto"/>
              <w:left w:val="nil"/>
              <w:bottom w:val="single" w:sz="4" w:space="0" w:color="auto"/>
              <w:right w:val="nil"/>
            </w:tcBorders>
            <w:vAlign w:val="top"/>
            <w:hideMark/>
          </w:tcPr>
          <w:p w14:paraId="0310DD4E" w14:textId="77777777" w:rsidR="00030303" w:rsidRPr="00DB2B77" w:rsidRDefault="00030303" w:rsidP="00030303">
            <w:pPr>
              <w:shd w:val="clear" w:color="auto" w:fill="FFFFFF"/>
              <w:spacing w:after="0" w:line="240" w:lineRule="auto"/>
              <w:rPr>
                <w:rFonts w:asciiTheme="minorHAnsi" w:eastAsia="Times New Roman" w:hAnsiTheme="minorHAnsi" w:cstheme="minorHAnsi"/>
                <w:w w:val="100"/>
                <w:kern w:val="0"/>
                <w:sz w:val="19"/>
                <w:szCs w:val="19"/>
                <w:highlight w:val="yellow"/>
                <w:lang w:eastAsia="en-AU"/>
              </w:rPr>
            </w:pPr>
            <w:r w:rsidRPr="00DB2B77">
              <w:rPr>
                <w:rFonts w:asciiTheme="minorHAnsi" w:eastAsia="Times New Roman" w:hAnsiTheme="minorHAnsi" w:cstheme="minorHAnsi"/>
                <w:w w:val="100"/>
                <w:kern w:val="0"/>
                <w:sz w:val="19"/>
                <w:szCs w:val="19"/>
                <w:lang w:eastAsia="en-AU"/>
              </w:rPr>
              <w:t>N/A</w:t>
            </w:r>
          </w:p>
        </w:tc>
        <w:tc>
          <w:tcPr>
            <w:tcW w:w="477" w:type="pct"/>
            <w:tcBorders>
              <w:top w:val="single" w:sz="4" w:space="0" w:color="auto"/>
              <w:left w:val="nil"/>
              <w:bottom w:val="single" w:sz="4" w:space="0" w:color="auto"/>
              <w:right w:val="nil"/>
            </w:tcBorders>
            <w:vAlign w:val="top"/>
            <w:hideMark/>
          </w:tcPr>
          <w:p w14:paraId="39069C1A" w14:textId="77777777" w:rsidR="00030303" w:rsidRPr="00DB2B77" w:rsidRDefault="00030303" w:rsidP="00030303">
            <w:pPr>
              <w:spacing w:before="60" w:after="60" w:line="240" w:lineRule="atLeast"/>
              <w:rPr>
                <w:rFonts w:asciiTheme="minorHAnsi" w:eastAsia="Times New Roman" w:hAnsiTheme="minorHAnsi" w:cstheme="minorHAnsi"/>
                <w:w w:val="100"/>
                <w:kern w:val="0"/>
                <w:sz w:val="19"/>
                <w:szCs w:val="19"/>
                <w:highlight w:val="yellow"/>
                <w:lang w:eastAsia="en-AU"/>
              </w:rPr>
            </w:pPr>
            <w:r w:rsidRPr="00DB2B77">
              <w:rPr>
                <w:rFonts w:asciiTheme="minorHAnsi" w:eastAsia="Times New Roman" w:hAnsiTheme="minorHAnsi" w:cstheme="minorHAnsi"/>
                <w:w w:val="100"/>
                <w:kern w:val="0"/>
                <w:sz w:val="19"/>
                <w:szCs w:val="19"/>
                <w:lang w:eastAsia="en-AU"/>
              </w:rPr>
              <w:t>N/A</w:t>
            </w:r>
          </w:p>
        </w:tc>
        <w:tc>
          <w:tcPr>
            <w:tcW w:w="514" w:type="pct"/>
            <w:tcBorders>
              <w:top w:val="single" w:sz="4" w:space="0" w:color="auto"/>
              <w:left w:val="nil"/>
              <w:bottom w:val="single" w:sz="4" w:space="0" w:color="auto"/>
              <w:right w:val="single" w:sz="4" w:space="0" w:color="auto"/>
            </w:tcBorders>
            <w:vAlign w:val="top"/>
            <w:hideMark/>
          </w:tcPr>
          <w:p w14:paraId="4D9F7613" w14:textId="77777777" w:rsidR="00030303" w:rsidRPr="00DB2B77" w:rsidRDefault="00030303" w:rsidP="00030303">
            <w:pPr>
              <w:spacing w:before="60" w:after="60" w:line="240" w:lineRule="atLeast"/>
              <w:rPr>
                <w:rFonts w:asciiTheme="minorHAnsi" w:eastAsia="Times New Roman" w:hAnsiTheme="minorHAnsi" w:cstheme="minorHAnsi"/>
                <w:w w:val="100"/>
                <w:kern w:val="0"/>
                <w:sz w:val="19"/>
                <w:szCs w:val="19"/>
                <w:highlight w:val="yellow"/>
                <w:lang w:eastAsia="en-AU"/>
              </w:rPr>
            </w:pPr>
            <w:r w:rsidRPr="00DB2B77">
              <w:rPr>
                <w:rFonts w:asciiTheme="minorHAnsi" w:eastAsia="Times New Roman" w:hAnsiTheme="minorHAnsi" w:cstheme="minorHAnsi"/>
                <w:w w:val="100"/>
                <w:kern w:val="0"/>
                <w:sz w:val="19"/>
                <w:szCs w:val="19"/>
                <w:lang w:eastAsia="en-AU"/>
              </w:rPr>
              <w:t xml:space="preserve">It is an offence for a person to practise any fraud or deceit on, or knowingly make or exhibit any false statement, representation, token, or writing to, any person called or to be called as a </w:t>
            </w:r>
            <w:r w:rsidRPr="00DB2B77">
              <w:rPr>
                <w:rFonts w:asciiTheme="minorHAnsi" w:eastAsia="Times New Roman" w:hAnsiTheme="minorHAnsi" w:cstheme="minorHAnsi"/>
                <w:w w:val="100"/>
                <w:kern w:val="0"/>
                <w:sz w:val="19"/>
                <w:szCs w:val="19"/>
                <w:lang w:eastAsia="en-AU"/>
              </w:rPr>
              <w:lastRenderedPageBreak/>
              <w:t>witness with intent to affect the testimony of that person as a witness (s 26).</w:t>
            </w:r>
          </w:p>
        </w:tc>
      </w:tr>
      <w:tr w:rsidR="00030303" w:rsidRPr="00DB2B77" w14:paraId="5AD9EF9D" w14:textId="77777777" w:rsidTr="00030303">
        <w:tc>
          <w:tcPr>
            <w:tcW w:w="467" w:type="pct"/>
            <w:tcBorders>
              <w:top w:val="single" w:sz="4" w:space="0" w:color="auto"/>
              <w:left w:val="single" w:sz="4" w:space="0" w:color="auto"/>
              <w:bottom w:val="single" w:sz="4" w:space="0" w:color="auto"/>
              <w:right w:val="nil"/>
            </w:tcBorders>
            <w:vAlign w:val="top"/>
            <w:hideMark/>
          </w:tcPr>
          <w:p w14:paraId="7DB9B6BD" w14:textId="77777777" w:rsidR="00030303" w:rsidRPr="00DB2B77" w:rsidRDefault="00030303" w:rsidP="00030303">
            <w:pPr>
              <w:spacing w:before="60" w:after="60" w:line="240" w:lineRule="atLeast"/>
              <w:rPr>
                <w:rFonts w:asciiTheme="minorHAnsi" w:eastAsia="Times New Roman" w:hAnsiTheme="minorHAnsi" w:cstheme="minorHAnsi"/>
                <w:b/>
                <w:w w:val="100"/>
                <w:kern w:val="0"/>
                <w:sz w:val="19"/>
                <w:szCs w:val="19"/>
                <w:lang w:eastAsia="en-AU"/>
              </w:rPr>
            </w:pPr>
            <w:r w:rsidRPr="00DB2B77">
              <w:rPr>
                <w:rFonts w:asciiTheme="minorHAnsi" w:eastAsia="Times New Roman" w:hAnsiTheme="minorHAnsi" w:cstheme="minorHAnsi"/>
                <w:b/>
                <w:w w:val="100"/>
                <w:kern w:val="0"/>
                <w:sz w:val="19"/>
                <w:szCs w:val="19"/>
                <w:lang w:eastAsia="en-AU"/>
              </w:rPr>
              <w:lastRenderedPageBreak/>
              <w:t>Preventing a witness from attending or producing evidence</w:t>
            </w:r>
          </w:p>
        </w:tc>
        <w:tc>
          <w:tcPr>
            <w:tcW w:w="503" w:type="pct"/>
            <w:tcBorders>
              <w:top w:val="single" w:sz="4" w:space="0" w:color="auto"/>
              <w:left w:val="nil"/>
              <w:bottom w:val="single" w:sz="4" w:space="0" w:color="auto"/>
              <w:right w:val="nil"/>
            </w:tcBorders>
            <w:shd w:val="clear" w:color="auto" w:fill="D9D9D9"/>
            <w:vAlign w:val="top"/>
          </w:tcPr>
          <w:p w14:paraId="58A475A8" w14:textId="77777777" w:rsidR="00030303" w:rsidRPr="00DB2B77" w:rsidRDefault="00030303" w:rsidP="00030303">
            <w:pPr>
              <w:spacing w:before="60" w:after="60" w:line="240" w:lineRule="atLeast"/>
              <w:rPr>
                <w:rFonts w:asciiTheme="minorHAnsi" w:eastAsia="Times New Roman" w:hAnsiTheme="minorHAnsi" w:cstheme="minorHAnsi"/>
                <w:w w:val="100"/>
                <w:kern w:val="0"/>
                <w:sz w:val="19"/>
                <w:szCs w:val="19"/>
                <w:lang w:eastAsia="en-AU"/>
              </w:rPr>
            </w:pPr>
            <w:r w:rsidRPr="00DB2B77">
              <w:rPr>
                <w:rFonts w:asciiTheme="minorHAnsi" w:eastAsia="Times New Roman" w:hAnsiTheme="minorHAnsi" w:cstheme="minorHAnsi"/>
                <w:w w:val="100"/>
                <w:kern w:val="0"/>
                <w:sz w:val="19"/>
                <w:szCs w:val="19"/>
                <w:lang w:eastAsia="en-AU"/>
              </w:rPr>
              <w:t>It is an offence to intentionally prevent a person who has been summoned to attend as a witness from attending or from producing anything in evidence pursuant to the summons to attend (s 6</w:t>
            </w:r>
            <w:proofErr w:type="gramStart"/>
            <w:r w:rsidRPr="00DB2B77">
              <w:rPr>
                <w:rFonts w:asciiTheme="minorHAnsi" w:eastAsia="Times New Roman" w:hAnsiTheme="minorHAnsi" w:cstheme="minorHAnsi"/>
                <w:w w:val="100"/>
                <w:kern w:val="0"/>
                <w:sz w:val="19"/>
                <w:szCs w:val="19"/>
                <w:lang w:eastAsia="en-AU"/>
              </w:rPr>
              <w:t>L(</w:t>
            </w:r>
            <w:proofErr w:type="gramEnd"/>
            <w:r w:rsidRPr="00DB2B77">
              <w:rPr>
                <w:rFonts w:asciiTheme="minorHAnsi" w:eastAsia="Times New Roman" w:hAnsiTheme="minorHAnsi" w:cstheme="minorHAnsi"/>
                <w:w w:val="100"/>
                <w:kern w:val="0"/>
                <w:sz w:val="19"/>
                <w:szCs w:val="19"/>
                <w:lang w:eastAsia="en-AU"/>
              </w:rPr>
              <w:t>1).</w:t>
            </w:r>
            <w:r w:rsidRPr="00DB2B77">
              <w:rPr>
                <w:rFonts w:asciiTheme="minorHAnsi" w:eastAsia="Times New Roman" w:hAnsiTheme="minorHAnsi" w:cstheme="minorHAnsi"/>
                <w:w w:val="100"/>
                <w:kern w:val="0"/>
                <w:sz w:val="19"/>
                <w:szCs w:val="19"/>
                <w:vertAlign w:val="superscript"/>
                <w:lang w:eastAsia="en-AU"/>
              </w:rPr>
              <w:footnoteReference w:id="38"/>
            </w:r>
            <w:r w:rsidRPr="00DB2B77">
              <w:rPr>
                <w:rFonts w:asciiTheme="minorHAnsi" w:eastAsia="Times New Roman" w:hAnsiTheme="minorHAnsi" w:cstheme="minorHAnsi"/>
                <w:w w:val="100"/>
                <w:kern w:val="0"/>
                <w:sz w:val="19"/>
                <w:szCs w:val="19"/>
                <w:lang w:eastAsia="en-AU"/>
              </w:rPr>
              <w:t xml:space="preserve"> </w:t>
            </w:r>
          </w:p>
          <w:p w14:paraId="384297C2" w14:textId="77777777" w:rsidR="00030303" w:rsidRPr="00DB2B77" w:rsidRDefault="00030303" w:rsidP="00030303">
            <w:pPr>
              <w:spacing w:before="60" w:after="60" w:line="240" w:lineRule="atLeast"/>
              <w:rPr>
                <w:rFonts w:asciiTheme="minorHAnsi" w:eastAsia="Times New Roman" w:hAnsiTheme="minorHAnsi" w:cstheme="minorHAnsi"/>
                <w:w w:val="100"/>
                <w:kern w:val="0"/>
                <w:sz w:val="19"/>
                <w:szCs w:val="19"/>
                <w:lang w:eastAsia="en-AU"/>
              </w:rPr>
            </w:pPr>
          </w:p>
          <w:p w14:paraId="6DC4AC44" w14:textId="77777777" w:rsidR="00030303" w:rsidRPr="00DB2B77" w:rsidRDefault="00030303" w:rsidP="00030303">
            <w:pPr>
              <w:spacing w:before="60" w:after="60" w:line="240" w:lineRule="atLeast"/>
              <w:rPr>
                <w:rFonts w:asciiTheme="minorHAnsi" w:eastAsia="Times New Roman" w:hAnsiTheme="minorHAnsi" w:cstheme="minorHAnsi"/>
                <w:i/>
                <w:w w:val="100"/>
                <w:kern w:val="0"/>
                <w:sz w:val="19"/>
                <w:szCs w:val="19"/>
                <w:highlight w:val="yellow"/>
                <w:lang w:eastAsia="en-AU"/>
              </w:rPr>
            </w:pPr>
            <w:r w:rsidRPr="00DB2B77">
              <w:rPr>
                <w:rFonts w:asciiTheme="minorHAnsi" w:eastAsia="Times New Roman" w:hAnsiTheme="minorHAnsi" w:cstheme="minorHAnsi"/>
                <w:w w:val="100"/>
                <w:kern w:val="0"/>
                <w:sz w:val="19"/>
                <w:szCs w:val="19"/>
                <w:lang w:eastAsia="en-AU"/>
              </w:rPr>
              <w:t xml:space="preserve">Equivalent for preventing a person required by a notice to give a document, thing, information or a statement from </w:t>
            </w:r>
            <w:r w:rsidRPr="00DB2B77">
              <w:rPr>
                <w:rFonts w:asciiTheme="minorHAnsi" w:eastAsia="Times New Roman" w:hAnsiTheme="minorHAnsi" w:cstheme="minorHAnsi"/>
                <w:w w:val="100"/>
                <w:kern w:val="0"/>
                <w:sz w:val="19"/>
                <w:szCs w:val="19"/>
                <w:lang w:eastAsia="en-AU"/>
              </w:rPr>
              <w:lastRenderedPageBreak/>
              <w:t>doing so: s 6</w:t>
            </w:r>
            <w:proofErr w:type="gramStart"/>
            <w:r w:rsidRPr="00DB2B77">
              <w:rPr>
                <w:rFonts w:asciiTheme="minorHAnsi" w:eastAsia="Times New Roman" w:hAnsiTheme="minorHAnsi" w:cstheme="minorHAnsi"/>
                <w:w w:val="100"/>
                <w:kern w:val="0"/>
                <w:sz w:val="19"/>
                <w:szCs w:val="19"/>
                <w:lang w:eastAsia="en-AU"/>
              </w:rPr>
              <w:t>L(</w:t>
            </w:r>
            <w:proofErr w:type="gramEnd"/>
            <w:r w:rsidRPr="00DB2B77">
              <w:rPr>
                <w:rFonts w:asciiTheme="minorHAnsi" w:eastAsia="Times New Roman" w:hAnsiTheme="minorHAnsi" w:cstheme="minorHAnsi"/>
                <w:w w:val="100"/>
                <w:kern w:val="0"/>
                <w:sz w:val="19"/>
                <w:szCs w:val="19"/>
                <w:lang w:eastAsia="en-AU"/>
              </w:rPr>
              <w:t>2).</w:t>
            </w:r>
          </w:p>
        </w:tc>
        <w:tc>
          <w:tcPr>
            <w:tcW w:w="504" w:type="pct"/>
            <w:tcBorders>
              <w:top w:val="single" w:sz="4" w:space="0" w:color="auto"/>
              <w:left w:val="nil"/>
              <w:bottom w:val="single" w:sz="4" w:space="0" w:color="auto"/>
              <w:right w:val="nil"/>
            </w:tcBorders>
            <w:vAlign w:val="top"/>
          </w:tcPr>
          <w:p w14:paraId="2D118EC9" w14:textId="77777777" w:rsidR="00030303" w:rsidRPr="00DB2B77" w:rsidRDefault="00030303" w:rsidP="00030303">
            <w:pPr>
              <w:spacing w:before="60" w:after="60" w:line="240" w:lineRule="atLeast"/>
              <w:rPr>
                <w:rFonts w:asciiTheme="minorHAnsi" w:eastAsia="Times New Roman" w:hAnsiTheme="minorHAnsi" w:cstheme="minorHAnsi"/>
                <w:w w:val="100"/>
                <w:kern w:val="0"/>
                <w:sz w:val="19"/>
                <w:szCs w:val="19"/>
                <w:lang w:eastAsia="en-AU"/>
              </w:rPr>
            </w:pPr>
            <w:r w:rsidRPr="00DB2B77">
              <w:rPr>
                <w:rFonts w:asciiTheme="minorHAnsi" w:eastAsia="Times New Roman" w:hAnsiTheme="minorHAnsi" w:cstheme="minorHAnsi"/>
                <w:w w:val="100"/>
                <w:kern w:val="0"/>
                <w:sz w:val="19"/>
                <w:szCs w:val="19"/>
                <w:lang w:eastAsia="en-AU"/>
              </w:rPr>
              <w:lastRenderedPageBreak/>
              <w:t>It is an offence for a person to cause or threaten to cause a detriment to someone else with the intention that the other person or a third person will not attend as a witness, give false or misleading evidence, or withhold true evidence (</w:t>
            </w:r>
            <w:r w:rsidRPr="00DB2B77">
              <w:rPr>
                <w:rFonts w:asciiTheme="minorHAnsi" w:eastAsia="Times New Roman" w:hAnsiTheme="minorHAnsi" w:cstheme="minorHAnsi"/>
                <w:i/>
                <w:w w:val="100"/>
                <w:kern w:val="0"/>
                <w:sz w:val="19"/>
                <w:szCs w:val="19"/>
                <w:lang w:eastAsia="en-AU"/>
              </w:rPr>
              <w:t xml:space="preserve">Criminal Code 2002 </w:t>
            </w:r>
            <w:r w:rsidRPr="00DB2B77">
              <w:rPr>
                <w:rFonts w:asciiTheme="minorHAnsi" w:eastAsia="Times New Roman" w:hAnsiTheme="minorHAnsi" w:cstheme="minorHAnsi"/>
                <w:w w:val="100"/>
                <w:kern w:val="0"/>
                <w:sz w:val="19"/>
                <w:szCs w:val="19"/>
                <w:lang w:eastAsia="en-AU"/>
              </w:rPr>
              <w:t>(ACT), s 709).</w:t>
            </w:r>
          </w:p>
          <w:p w14:paraId="159F8605" w14:textId="77777777" w:rsidR="00030303" w:rsidRPr="00DB2B77" w:rsidRDefault="00030303" w:rsidP="00030303">
            <w:pPr>
              <w:spacing w:before="60" w:after="60" w:line="240" w:lineRule="atLeast"/>
              <w:rPr>
                <w:rFonts w:asciiTheme="minorHAnsi" w:eastAsia="Times New Roman" w:hAnsiTheme="minorHAnsi" w:cstheme="minorHAnsi"/>
                <w:w w:val="100"/>
                <w:kern w:val="0"/>
                <w:sz w:val="19"/>
                <w:szCs w:val="19"/>
                <w:lang w:eastAsia="en-AU"/>
              </w:rPr>
            </w:pPr>
          </w:p>
          <w:p w14:paraId="23E52EDB" w14:textId="77777777" w:rsidR="00030303" w:rsidRPr="00DB2B77" w:rsidRDefault="00030303" w:rsidP="00030303">
            <w:pPr>
              <w:spacing w:before="60" w:after="60" w:line="240" w:lineRule="atLeast"/>
              <w:rPr>
                <w:rFonts w:asciiTheme="minorHAnsi" w:eastAsia="Times New Roman" w:hAnsiTheme="minorHAnsi" w:cstheme="minorHAnsi"/>
                <w:w w:val="100"/>
                <w:kern w:val="0"/>
                <w:sz w:val="19"/>
                <w:szCs w:val="19"/>
                <w:lang w:eastAsia="en-AU"/>
              </w:rPr>
            </w:pPr>
            <w:r w:rsidRPr="00DB2B77">
              <w:rPr>
                <w:rFonts w:asciiTheme="minorHAnsi" w:eastAsia="Times New Roman" w:hAnsiTheme="minorHAnsi" w:cstheme="minorHAnsi"/>
                <w:w w:val="100"/>
                <w:kern w:val="0"/>
                <w:sz w:val="19"/>
                <w:szCs w:val="19"/>
                <w:lang w:eastAsia="en-AU"/>
              </w:rPr>
              <w:t xml:space="preserve">It is an offence for a </w:t>
            </w:r>
            <w:r w:rsidRPr="00DB2B77">
              <w:rPr>
                <w:rFonts w:asciiTheme="minorHAnsi" w:eastAsia="Times New Roman" w:hAnsiTheme="minorHAnsi" w:cstheme="minorHAnsi"/>
                <w:w w:val="100"/>
                <w:kern w:val="0"/>
                <w:sz w:val="19"/>
                <w:szCs w:val="19"/>
                <w:lang w:eastAsia="en-AU"/>
              </w:rPr>
              <w:lastRenderedPageBreak/>
              <w:t>person to intentionally prevent someone from attending as a witness or answering a question the person is required by law to answer (</w:t>
            </w:r>
            <w:r w:rsidRPr="00DB2B77">
              <w:rPr>
                <w:rFonts w:asciiTheme="minorHAnsi" w:eastAsia="Times New Roman" w:hAnsiTheme="minorHAnsi" w:cstheme="minorHAnsi"/>
                <w:i/>
                <w:w w:val="100"/>
                <w:kern w:val="0"/>
                <w:sz w:val="19"/>
                <w:szCs w:val="19"/>
                <w:lang w:eastAsia="en-AU"/>
              </w:rPr>
              <w:t xml:space="preserve">Criminal Code 2002 </w:t>
            </w:r>
            <w:r w:rsidRPr="00DB2B77">
              <w:rPr>
                <w:rFonts w:asciiTheme="minorHAnsi" w:eastAsia="Times New Roman" w:hAnsiTheme="minorHAnsi" w:cstheme="minorHAnsi"/>
                <w:w w:val="100"/>
                <w:kern w:val="0"/>
                <w:sz w:val="19"/>
                <w:szCs w:val="19"/>
                <w:lang w:eastAsia="en-AU"/>
              </w:rPr>
              <w:t xml:space="preserve">(ACT), s 710). </w:t>
            </w:r>
          </w:p>
          <w:p w14:paraId="2A435483" w14:textId="77777777" w:rsidR="00030303" w:rsidRPr="00DB2B77" w:rsidRDefault="00030303" w:rsidP="00030303">
            <w:pPr>
              <w:spacing w:before="60" w:after="60" w:line="240" w:lineRule="atLeast"/>
              <w:rPr>
                <w:rFonts w:asciiTheme="minorHAnsi" w:eastAsia="Times New Roman" w:hAnsiTheme="minorHAnsi" w:cstheme="minorHAnsi"/>
                <w:w w:val="100"/>
                <w:kern w:val="0"/>
                <w:sz w:val="19"/>
                <w:szCs w:val="19"/>
                <w:lang w:eastAsia="en-AU"/>
              </w:rPr>
            </w:pPr>
          </w:p>
          <w:p w14:paraId="740DEDF8" w14:textId="77777777" w:rsidR="00030303" w:rsidRPr="00DB2B77" w:rsidRDefault="00030303" w:rsidP="00030303">
            <w:pPr>
              <w:spacing w:before="60" w:after="60" w:line="240" w:lineRule="atLeast"/>
              <w:rPr>
                <w:rFonts w:asciiTheme="minorHAnsi" w:eastAsia="Times New Roman" w:hAnsiTheme="minorHAnsi" w:cstheme="minorHAnsi"/>
                <w:w w:val="100"/>
                <w:kern w:val="0"/>
                <w:sz w:val="19"/>
                <w:szCs w:val="19"/>
                <w:lang w:eastAsia="en-AU"/>
              </w:rPr>
            </w:pPr>
            <w:r w:rsidRPr="00DB2B77">
              <w:rPr>
                <w:rFonts w:asciiTheme="minorHAnsi" w:eastAsia="Times New Roman" w:hAnsiTheme="minorHAnsi" w:cstheme="minorHAnsi"/>
                <w:w w:val="100"/>
                <w:kern w:val="0"/>
                <w:sz w:val="19"/>
                <w:szCs w:val="19"/>
                <w:lang w:eastAsia="en-AU"/>
              </w:rPr>
              <w:t>It is an offence for a person to intentionally prevent someone else from producing in evidence a document or other thing required by law to be produced (</w:t>
            </w:r>
            <w:r w:rsidRPr="00DB2B77">
              <w:rPr>
                <w:rFonts w:asciiTheme="minorHAnsi" w:eastAsia="Times New Roman" w:hAnsiTheme="minorHAnsi" w:cstheme="minorHAnsi"/>
                <w:i/>
                <w:w w:val="100"/>
                <w:kern w:val="0"/>
                <w:sz w:val="19"/>
                <w:szCs w:val="19"/>
                <w:lang w:eastAsia="en-AU"/>
              </w:rPr>
              <w:t xml:space="preserve">Criminal Code </w:t>
            </w:r>
            <w:r w:rsidRPr="00DB2B77">
              <w:rPr>
                <w:rFonts w:asciiTheme="minorHAnsi" w:eastAsia="Times New Roman" w:hAnsiTheme="minorHAnsi" w:cstheme="minorHAnsi"/>
                <w:i/>
                <w:w w:val="100"/>
                <w:kern w:val="0"/>
                <w:sz w:val="19"/>
                <w:szCs w:val="19"/>
                <w:lang w:eastAsia="en-AU"/>
              </w:rPr>
              <w:lastRenderedPageBreak/>
              <w:t xml:space="preserve">2002 </w:t>
            </w:r>
            <w:r w:rsidRPr="00DB2B77">
              <w:rPr>
                <w:rFonts w:asciiTheme="minorHAnsi" w:eastAsia="Times New Roman" w:hAnsiTheme="minorHAnsi" w:cstheme="minorHAnsi"/>
                <w:w w:val="100"/>
                <w:kern w:val="0"/>
                <w:sz w:val="19"/>
                <w:szCs w:val="19"/>
                <w:lang w:eastAsia="en-AU"/>
              </w:rPr>
              <w:t>(ACT), s 711).</w:t>
            </w:r>
          </w:p>
          <w:p w14:paraId="556F2EC4" w14:textId="77777777" w:rsidR="00030303" w:rsidRPr="00DB2B77" w:rsidRDefault="00030303" w:rsidP="00030303">
            <w:pPr>
              <w:spacing w:before="60" w:after="60" w:line="240" w:lineRule="atLeast"/>
              <w:rPr>
                <w:rFonts w:asciiTheme="minorHAnsi" w:eastAsia="Times New Roman" w:hAnsiTheme="minorHAnsi" w:cstheme="minorHAnsi"/>
                <w:w w:val="100"/>
                <w:kern w:val="0"/>
                <w:sz w:val="19"/>
                <w:szCs w:val="19"/>
                <w:lang w:eastAsia="en-AU"/>
              </w:rPr>
            </w:pPr>
            <w:r w:rsidRPr="00DB2B77">
              <w:rPr>
                <w:rFonts w:asciiTheme="minorHAnsi" w:eastAsia="Times New Roman" w:hAnsiTheme="minorHAnsi" w:cstheme="minorHAnsi"/>
                <w:w w:val="100"/>
                <w:kern w:val="0"/>
                <w:sz w:val="19"/>
                <w:szCs w:val="19"/>
                <w:lang w:eastAsia="en-AU"/>
              </w:rPr>
              <w:t>See also ss 707(1) and (2) and 708 (referred to above).</w:t>
            </w:r>
          </w:p>
        </w:tc>
        <w:tc>
          <w:tcPr>
            <w:tcW w:w="504" w:type="pct"/>
            <w:tcBorders>
              <w:top w:val="single" w:sz="4" w:space="0" w:color="auto"/>
              <w:left w:val="nil"/>
              <w:bottom w:val="single" w:sz="4" w:space="0" w:color="auto"/>
              <w:right w:val="nil"/>
            </w:tcBorders>
            <w:vAlign w:val="top"/>
            <w:hideMark/>
          </w:tcPr>
          <w:p w14:paraId="2561EFCB" w14:textId="77777777" w:rsidR="00030303" w:rsidRPr="00DB2B77" w:rsidRDefault="00030303" w:rsidP="00030303">
            <w:pPr>
              <w:spacing w:before="60" w:after="60" w:line="240" w:lineRule="atLeast"/>
              <w:rPr>
                <w:rFonts w:asciiTheme="minorHAnsi" w:eastAsia="Times New Roman" w:hAnsiTheme="minorHAnsi" w:cstheme="minorHAnsi"/>
                <w:w w:val="100"/>
                <w:kern w:val="0"/>
                <w:sz w:val="19"/>
                <w:szCs w:val="19"/>
                <w:highlight w:val="yellow"/>
                <w:lang w:eastAsia="en-AU"/>
              </w:rPr>
            </w:pPr>
            <w:r w:rsidRPr="00DB2B77">
              <w:rPr>
                <w:rFonts w:asciiTheme="minorHAnsi" w:eastAsia="Times New Roman" w:hAnsiTheme="minorHAnsi" w:cstheme="minorHAnsi"/>
                <w:w w:val="100"/>
                <w:kern w:val="0"/>
                <w:sz w:val="19"/>
                <w:szCs w:val="19"/>
                <w:lang w:eastAsia="en-AU"/>
              </w:rPr>
              <w:lastRenderedPageBreak/>
              <w:t>N/A</w:t>
            </w:r>
          </w:p>
        </w:tc>
        <w:tc>
          <w:tcPr>
            <w:tcW w:w="504" w:type="pct"/>
            <w:tcBorders>
              <w:top w:val="single" w:sz="4" w:space="0" w:color="auto"/>
              <w:left w:val="nil"/>
              <w:bottom w:val="single" w:sz="4" w:space="0" w:color="auto"/>
              <w:right w:val="nil"/>
            </w:tcBorders>
            <w:vAlign w:val="top"/>
            <w:hideMark/>
          </w:tcPr>
          <w:p w14:paraId="39390960" w14:textId="77777777" w:rsidR="00030303" w:rsidRPr="00DB2B77" w:rsidRDefault="00030303" w:rsidP="00030303">
            <w:pPr>
              <w:spacing w:before="60" w:after="60" w:line="240" w:lineRule="atLeast"/>
              <w:rPr>
                <w:rFonts w:asciiTheme="minorHAnsi" w:eastAsia="Times New Roman" w:hAnsiTheme="minorHAnsi" w:cstheme="minorHAnsi"/>
                <w:w w:val="100"/>
                <w:kern w:val="0"/>
                <w:sz w:val="19"/>
                <w:szCs w:val="19"/>
                <w:highlight w:val="yellow"/>
                <w:lang w:eastAsia="en-AU"/>
              </w:rPr>
            </w:pPr>
            <w:r w:rsidRPr="00DB2B77">
              <w:rPr>
                <w:rFonts w:asciiTheme="minorHAnsi" w:eastAsia="Times New Roman" w:hAnsiTheme="minorHAnsi" w:cstheme="minorHAnsi"/>
                <w:w w:val="100"/>
                <w:kern w:val="0"/>
                <w:sz w:val="19"/>
                <w:szCs w:val="19"/>
                <w:lang w:eastAsia="en-AU"/>
              </w:rPr>
              <w:t>N/A</w:t>
            </w:r>
          </w:p>
        </w:tc>
        <w:tc>
          <w:tcPr>
            <w:tcW w:w="509" w:type="pct"/>
            <w:tcBorders>
              <w:top w:val="single" w:sz="4" w:space="0" w:color="auto"/>
              <w:left w:val="nil"/>
              <w:bottom w:val="single" w:sz="4" w:space="0" w:color="auto"/>
              <w:right w:val="nil"/>
            </w:tcBorders>
            <w:vAlign w:val="top"/>
            <w:hideMark/>
          </w:tcPr>
          <w:p w14:paraId="5C297E6A" w14:textId="77777777" w:rsidR="00030303" w:rsidRPr="00DB2B77" w:rsidRDefault="00030303" w:rsidP="00030303">
            <w:pPr>
              <w:spacing w:before="60" w:after="60" w:line="240" w:lineRule="atLeast"/>
              <w:rPr>
                <w:rFonts w:asciiTheme="minorHAnsi" w:eastAsia="Times New Roman" w:hAnsiTheme="minorHAnsi" w:cstheme="minorHAnsi"/>
                <w:w w:val="100"/>
                <w:kern w:val="0"/>
                <w:sz w:val="19"/>
                <w:szCs w:val="19"/>
                <w:lang w:eastAsia="en-AU"/>
              </w:rPr>
            </w:pPr>
            <w:r w:rsidRPr="00DB2B77">
              <w:rPr>
                <w:rFonts w:asciiTheme="minorHAnsi" w:eastAsia="Times New Roman" w:hAnsiTheme="minorHAnsi" w:cstheme="minorHAnsi"/>
                <w:w w:val="100"/>
                <w:kern w:val="0"/>
                <w:sz w:val="19"/>
                <w:szCs w:val="19"/>
                <w:lang w:eastAsia="en-AU"/>
              </w:rPr>
              <w:t>It is an offence for a person to wilfully prevent or attempt to prevent any person summoned as a witness from attending or producing anything in evidence pursuant to the subpoena or summons (</w:t>
            </w:r>
            <w:r w:rsidRPr="00DB2B77">
              <w:rPr>
                <w:rFonts w:asciiTheme="minorHAnsi" w:eastAsia="Times New Roman" w:hAnsiTheme="minorHAnsi" w:cstheme="minorHAnsi"/>
                <w:i/>
                <w:w w:val="100"/>
                <w:kern w:val="0"/>
                <w:sz w:val="19"/>
                <w:szCs w:val="19"/>
                <w:lang w:eastAsia="en-AU"/>
              </w:rPr>
              <w:t xml:space="preserve">Criminal Code </w:t>
            </w:r>
            <w:r w:rsidRPr="00DB2B77">
              <w:rPr>
                <w:rFonts w:asciiTheme="minorHAnsi" w:eastAsia="Times New Roman" w:hAnsiTheme="minorHAnsi" w:cstheme="minorHAnsi"/>
                <w:w w:val="100"/>
                <w:kern w:val="0"/>
                <w:sz w:val="19"/>
                <w:szCs w:val="19"/>
                <w:lang w:eastAsia="en-AU"/>
              </w:rPr>
              <w:t>(Qld), s 130).</w:t>
            </w:r>
            <w:r w:rsidRPr="00DB2B77">
              <w:rPr>
                <w:rFonts w:asciiTheme="minorHAnsi" w:eastAsia="Times New Roman" w:hAnsiTheme="minorHAnsi" w:cstheme="minorHAnsi"/>
                <w:w w:val="100"/>
                <w:kern w:val="0"/>
                <w:sz w:val="19"/>
                <w:szCs w:val="19"/>
                <w:vertAlign w:val="superscript"/>
                <w:lang w:eastAsia="en-AU"/>
              </w:rPr>
              <w:footnoteReference w:id="39"/>
            </w:r>
          </w:p>
        </w:tc>
        <w:tc>
          <w:tcPr>
            <w:tcW w:w="514" w:type="pct"/>
            <w:tcBorders>
              <w:top w:val="single" w:sz="4" w:space="0" w:color="auto"/>
              <w:left w:val="nil"/>
              <w:bottom w:val="single" w:sz="4" w:space="0" w:color="auto"/>
              <w:right w:val="nil"/>
            </w:tcBorders>
            <w:vAlign w:val="top"/>
            <w:hideMark/>
          </w:tcPr>
          <w:p w14:paraId="3EE3A0D8" w14:textId="77777777" w:rsidR="00030303" w:rsidRPr="00DB2B77" w:rsidRDefault="00030303" w:rsidP="00030303">
            <w:pPr>
              <w:spacing w:before="60" w:after="60" w:line="240" w:lineRule="atLeast"/>
              <w:rPr>
                <w:rFonts w:asciiTheme="minorHAnsi" w:eastAsia="Times New Roman" w:hAnsiTheme="minorHAnsi" w:cstheme="minorHAnsi"/>
                <w:w w:val="100"/>
                <w:kern w:val="0"/>
                <w:sz w:val="19"/>
                <w:szCs w:val="19"/>
                <w:highlight w:val="yellow"/>
                <w:lang w:eastAsia="en-AU"/>
              </w:rPr>
            </w:pPr>
            <w:r w:rsidRPr="00DB2B77">
              <w:rPr>
                <w:rFonts w:asciiTheme="minorHAnsi" w:eastAsia="Times New Roman" w:hAnsiTheme="minorHAnsi" w:cstheme="minorHAnsi"/>
                <w:w w:val="100"/>
                <w:kern w:val="0"/>
                <w:sz w:val="19"/>
                <w:szCs w:val="19"/>
                <w:lang w:eastAsia="en-AU"/>
              </w:rPr>
              <w:t>N/A</w:t>
            </w:r>
          </w:p>
        </w:tc>
        <w:tc>
          <w:tcPr>
            <w:tcW w:w="504" w:type="pct"/>
            <w:tcBorders>
              <w:top w:val="single" w:sz="4" w:space="0" w:color="auto"/>
              <w:left w:val="nil"/>
              <w:bottom w:val="single" w:sz="4" w:space="0" w:color="auto"/>
              <w:right w:val="nil"/>
            </w:tcBorders>
            <w:vAlign w:val="top"/>
            <w:hideMark/>
          </w:tcPr>
          <w:p w14:paraId="3D9E4D5E" w14:textId="77777777" w:rsidR="00030303" w:rsidRPr="00DB2B77" w:rsidRDefault="00030303" w:rsidP="00030303">
            <w:pPr>
              <w:spacing w:before="60" w:after="60" w:line="240" w:lineRule="atLeast"/>
              <w:rPr>
                <w:rFonts w:asciiTheme="minorHAnsi" w:eastAsia="Times New Roman" w:hAnsiTheme="minorHAnsi" w:cstheme="minorHAnsi"/>
                <w:w w:val="100"/>
                <w:kern w:val="0"/>
                <w:sz w:val="19"/>
                <w:szCs w:val="19"/>
                <w:lang w:eastAsia="en-AU"/>
              </w:rPr>
            </w:pPr>
            <w:r w:rsidRPr="00DB2B77">
              <w:rPr>
                <w:rFonts w:asciiTheme="minorHAnsi" w:eastAsia="Times New Roman" w:hAnsiTheme="minorHAnsi" w:cstheme="minorHAnsi"/>
                <w:w w:val="100"/>
                <w:kern w:val="0"/>
                <w:sz w:val="19"/>
                <w:szCs w:val="19"/>
                <w:lang w:eastAsia="en-AU"/>
              </w:rPr>
              <w:t>It is an offence for a person to intentionally prevent or try to prevent a person required by a Commission to appear before it from attending as a witness, or from producing any document or thing to the Commission (s 33(1)).</w:t>
            </w:r>
            <w:r w:rsidRPr="00DB2B77">
              <w:rPr>
                <w:rFonts w:asciiTheme="minorHAnsi" w:eastAsia="Times New Roman" w:hAnsiTheme="minorHAnsi" w:cstheme="minorHAnsi"/>
                <w:w w:val="100"/>
                <w:kern w:val="0"/>
                <w:sz w:val="19"/>
                <w:szCs w:val="19"/>
                <w:vertAlign w:val="superscript"/>
                <w:lang w:eastAsia="en-AU"/>
              </w:rPr>
              <w:footnoteReference w:id="40"/>
            </w:r>
            <w:r w:rsidRPr="00DB2B77">
              <w:rPr>
                <w:rFonts w:asciiTheme="minorHAnsi" w:eastAsia="Times New Roman" w:hAnsiTheme="minorHAnsi" w:cstheme="minorHAnsi"/>
                <w:w w:val="100"/>
                <w:kern w:val="0"/>
                <w:sz w:val="19"/>
                <w:szCs w:val="19"/>
                <w:lang w:eastAsia="en-AU"/>
              </w:rPr>
              <w:t xml:space="preserve"> </w:t>
            </w:r>
          </w:p>
        </w:tc>
        <w:tc>
          <w:tcPr>
            <w:tcW w:w="477" w:type="pct"/>
            <w:tcBorders>
              <w:top w:val="single" w:sz="4" w:space="0" w:color="auto"/>
              <w:left w:val="nil"/>
              <w:bottom w:val="single" w:sz="4" w:space="0" w:color="auto"/>
              <w:right w:val="nil"/>
            </w:tcBorders>
            <w:vAlign w:val="top"/>
            <w:hideMark/>
          </w:tcPr>
          <w:p w14:paraId="7D0AF340" w14:textId="77777777" w:rsidR="00030303" w:rsidRPr="00DB2B77" w:rsidRDefault="00030303" w:rsidP="00030303">
            <w:pPr>
              <w:spacing w:before="60" w:after="60" w:line="240" w:lineRule="atLeast"/>
              <w:rPr>
                <w:rFonts w:asciiTheme="minorHAnsi" w:eastAsia="Times New Roman" w:hAnsiTheme="minorHAnsi" w:cstheme="minorHAnsi"/>
                <w:w w:val="100"/>
                <w:kern w:val="0"/>
                <w:sz w:val="19"/>
                <w:szCs w:val="19"/>
                <w:highlight w:val="yellow"/>
                <w:lang w:eastAsia="en-AU"/>
              </w:rPr>
            </w:pPr>
            <w:r w:rsidRPr="00DB2B77">
              <w:rPr>
                <w:rFonts w:asciiTheme="minorHAnsi" w:eastAsia="Times New Roman" w:hAnsiTheme="minorHAnsi" w:cstheme="minorHAnsi"/>
                <w:w w:val="100"/>
                <w:kern w:val="0"/>
                <w:sz w:val="19"/>
                <w:szCs w:val="19"/>
                <w:lang w:eastAsia="en-AU"/>
              </w:rPr>
              <w:t>N/A</w:t>
            </w:r>
            <w:r w:rsidRPr="00DB2B77">
              <w:rPr>
                <w:rFonts w:asciiTheme="minorHAnsi" w:eastAsia="Times New Roman" w:hAnsiTheme="minorHAnsi" w:cstheme="minorHAnsi"/>
                <w:w w:val="100"/>
                <w:kern w:val="0"/>
                <w:sz w:val="19"/>
                <w:szCs w:val="19"/>
                <w:vertAlign w:val="superscript"/>
                <w:lang w:eastAsia="en-AU"/>
              </w:rPr>
              <w:footnoteReference w:id="41"/>
            </w:r>
          </w:p>
        </w:tc>
        <w:tc>
          <w:tcPr>
            <w:tcW w:w="514" w:type="pct"/>
            <w:tcBorders>
              <w:top w:val="single" w:sz="4" w:space="0" w:color="auto"/>
              <w:left w:val="nil"/>
              <w:bottom w:val="single" w:sz="4" w:space="0" w:color="auto"/>
              <w:right w:val="single" w:sz="4" w:space="0" w:color="auto"/>
            </w:tcBorders>
            <w:vAlign w:val="top"/>
            <w:hideMark/>
          </w:tcPr>
          <w:p w14:paraId="2822D1DE" w14:textId="77777777" w:rsidR="00030303" w:rsidRPr="00DB2B77" w:rsidRDefault="00030303" w:rsidP="00030303">
            <w:pPr>
              <w:shd w:val="clear" w:color="auto" w:fill="FFFFFF"/>
              <w:spacing w:after="0" w:line="240" w:lineRule="auto"/>
              <w:rPr>
                <w:rFonts w:asciiTheme="minorHAnsi" w:eastAsia="Times New Roman" w:hAnsiTheme="minorHAnsi" w:cstheme="minorHAnsi"/>
                <w:w w:val="100"/>
                <w:kern w:val="0"/>
                <w:sz w:val="19"/>
                <w:szCs w:val="19"/>
                <w:lang w:eastAsia="en-AU"/>
              </w:rPr>
            </w:pPr>
            <w:r w:rsidRPr="00DB2B77">
              <w:rPr>
                <w:rFonts w:asciiTheme="minorHAnsi" w:eastAsia="Times New Roman" w:hAnsiTheme="minorHAnsi" w:cstheme="minorHAnsi"/>
                <w:w w:val="100"/>
                <w:kern w:val="0"/>
                <w:sz w:val="19"/>
                <w:szCs w:val="19"/>
                <w:lang w:eastAsia="en-AU"/>
              </w:rPr>
              <w:t>It is an offence for a person to wilfully prevent or endeavour to prevent any person summoned as a witness from attending or producing anything in evidence pursuant to the summons to attend (s 28).</w:t>
            </w:r>
          </w:p>
        </w:tc>
      </w:tr>
      <w:tr w:rsidR="00030303" w:rsidRPr="00DB2B77" w14:paraId="23BCFF65" w14:textId="77777777" w:rsidTr="00030303">
        <w:tc>
          <w:tcPr>
            <w:tcW w:w="467" w:type="pct"/>
            <w:tcBorders>
              <w:top w:val="single" w:sz="4" w:space="0" w:color="auto"/>
              <w:left w:val="single" w:sz="4" w:space="0" w:color="auto"/>
              <w:bottom w:val="single" w:sz="4" w:space="0" w:color="auto"/>
              <w:right w:val="nil"/>
            </w:tcBorders>
            <w:vAlign w:val="top"/>
            <w:hideMark/>
          </w:tcPr>
          <w:p w14:paraId="75CA3C30" w14:textId="77777777" w:rsidR="00030303" w:rsidRPr="00DB2B77" w:rsidRDefault="00030303" w:rsidP="00030303">
            <w:pPr>
              <w:spacing w:before="60" w:after="60" w:line="240" w:lineRule="atLeast"/>
              <w:rPr>
                <w:rFonts w:asciiTheme="minorHAnsi" w:eastAsia="Times New Roman" w:hAnsiTheme="minorHAnsi" w:cstheme="minorHAnsi"/>
                <w:b/>
                <w:w w:val="100"/>
                <w:kern w:val="0"/>
                <w:sz w:val="19"/>
                <w:szCs w:val="19"/>
                <w:lang w:eastAsia="en-AU"/>
              </w:rPr>
            </w:pPr>
            <w:r w:rsidRPr="00DB2B77">
              <w:rPr>
                <w:rFonts w:asciiTheme="minorHAnsi" w:eastAsia="Times New Roman" w:hAnsiTheme="minorHAnsi" w:cstheme="minorHAnsi"/>
                <w:b/>
                <w:w w:val="100"/>
                <w:kern w:val="0"/>
                <w:sz w:val="19"/>
                <w:szCs w:val="19"/>
                <w:lang w:eastAsia="en-AU"/>
              </w:rPr>
              <w:lastRenderedPageBreak/>
              <w:t>Causing injury/detriment to witness</w:t>
            </w:r>
          </w:p>
        </w:tc>
        <w:tc>
          <w:tcPr>
            <w:tcW w:w="503" w:type="pct"/>
            <w:tcBorders>
              <w:top w:val="single" w:sz="4" w:space="0" w:color="auto"/>
              <w:left w:val="nil"/>
              <w:bottom w:val="single" w:sz="4" w:space="0" w:color="auto"/>
              <w:right w:val="nil"/>
            </w:tcBorders>
            <w:shd w:val="clear" w:color="auto" w:fill="D9D9D9"/>
            <w:vAlign w:val="top"/>
            <w:hideMark/>
          </w:tcPr>
          <w:p w14:paraId="6A73FBB0" w14:textId="77777777" w:rsidR="00030303" w:rsidRPr="00DB2B77" w:rsidRDefault="00030303" w:rsidP="00030303">
            <w:pPr>
              <w:spacing w:before="60" w:after="60" w:line="240" w:lineRule="atLeast"/>
              <w:rPr>
                <w:rFonts w:asciiTheme="minorHAnsi" w:eastAsia="Times New Roman" w:hAnsiTheme="minorHAnsi" w:cstheme="minorHAnsi"/>
                <w:w w:val="100"/>
                <w:kern w:val="0"/>
                <w:sz w:val="19"/>
                <w:szCs w:val="19"/>
                <w:lang w:eastAsia="en-AU"/>
              </w:rPr>
            </w:pPr>
            <w:r w:rsidRPr="00DB2B77">
              <w:rPr>
                <w:rFonts w:asciiTheme="minorHAnsi" w:eastAsia="Times New Roman" w:hAnsiTheme="minorHAnsi" w:cstheme="minorHAnsi"/>
                <w:w w:val="100"/>
                <w:kern w:val="0"/>
                <w:sz w:val="19"/>
                <w:szCs w:val="19"/>
                <w:lang w:eastAsia="en-AU"/>
              </w:rPr>
              <w:t xml:space="preserve">It is an offence for a person to use, cause or inflict any violence, punishment, damage, loss or disadvantage to any person for or on account of the person having appeared as a witness, any evidence given, or the person having produced a document or </w:t>
            </w:r>
            <w:r w:rsidRPr="00DB2B77">
              <w:rPr>
                <w:rFonts w:asciiTheme="minorHAnsi" w:eastAsia="Times New Roman" w:hAnsiTheme="minorHAnsi" w:cstheme="minorHAnsi"/>
                <w:w w:val="100"/>
                <w:kern w:val="0"/>
                <w:sz w:val="19"/>
                <w:szCs w:val="19"/>
                <w:lang w:eastAsia="en-AU"/>
              </w:rPr>
              <w:lastRenderedPageBreak/>
              <w:t>thing or given information or a statement pursuant to a summons, requirement or notice (s 6M).</w:t>
            </w:r>
            <w:r w:rsidRPr="00DB2B77">
              <w:rPr>
                <w:rFonts w:asciiTheme="minorHAnsi" w:eastAsia="Times New Roman" w:hAnsiTheme="minorHAnsi" w:cstheme="minorHAnsi"/>
                <w:w w:val="100"/>
                <w:kern w:val="0"/>
                <w:sz w:val="19"/>
                <w:szCs w:val="19"/>
                <w:vertAlign w:val="superscript"/>
                <w:lang w:eastAsia="en-AU"/>
              </w:rPr>
              <w:footnoteReference w:id="42"/>
            </w:r>
          </w:p>
        </w:tc>
        <w:tc>
          <w:tcPr>
            <w:tcW w:w="504" w:type="pct"/>
            <w:tcBorders>
              <w:top w:val="single" w:sz="4" w:space="0" w:color="auto"/>
              <w:left w:val="nil"/>
              <w:bottom w:val="single" w:sz="4" w:space="0" w:color="auto"/>
              <w:right w:val="nil"/>
            </w:tcBorders>
            <w:vAlign w:val="top"/>
            <w:hideMark/>
          </w:tcPr>
          <w:p w14:paraId="7E8B91AF" w14:textId="77777777" w:rsidR="00030303" w:rsidRPr="00DB2B77" w:rsidRDefault="00030303" w:rsidP="00030303">
            <w:pPr>
              <w:spacing w:before="60" w:after="60" w:line="240" w:lineRule="atLeast"/>
              <w:rPr>
                <w:rFonts w:asciiTheme="minorHAnsi" w:eastAsia="Times New Roman" w:hAnsiTheme="minorHAnsi" w:cstheme="minorHAnsi"/>
                <w:w w:val="100"/>
                <w:kern w:val="0"/>
                <w:sz w:val="19"/>
                <w:szCs w:val="19"/>
                <w:lang w:eastAsia="en-AU"/>
              </w:rPr>
            </w:pPr>
            <w:r w:rsidRPr="00DB2B77">
              <w:rPr>
                <w:rFonts w:asciiTheme="minorHAnsi" w:eastAsia="Times New Roman" w:hAnsiTheme="minorHAnsi" w:cstheme="minorHAnsi"/>
                <w:w w:val="100"/>
                <w:kern w:val="0"/>
                <w:sz w:val="19"/>
                <w:szCs w:val="19"/>
                <w:lang w:eastAsia="en-AU"/>
              </w:rPr>
              <w:lastRenderedPageBreak/>
              <w:t xml:space="preserve">It is an offence for a person to cause or threaten to cause a detriment to a witness because of something done by the witness in the relevant proceeding and in the belief that the witness was a witness who had done that </w:t>
            </w:r>
            <w:r w:rsidRPr="00DB2B77">
              <w:rPr>
                <w:rFonts w:asciiTheme="minorHAnsi" w:eastAsia="Times New Roman" w:hAnsiTheme="minorHAnsi" w:cstheme="minorHAnsi"/>
                <w:w w:val="100"/>
                <w:kern w:val="0"/>
                <w:sz w:val="19"/>
                <w:szCs w:val="19"/>
                <w:lang w:eastAsia="en-AU"/>
              </w:rPr>
              <w:lastRenderedPageBreak/>
              <w:t>thing (</w:t>
            </w:r>
            <w:r w:rsidRPr="00DB2B77">
              <w:rPr>
                <w:rFonts w:asciiTheme="minorHAnsi" w:eastAsia="Times New Roman" w:hAnsiTheme="minorHAnsi" w:cstheme="minorHAnsi"/>
                <w:i/>
                <w:w w:val="100"/>
                <w:kern w:val="0"/>
                <w:sz w:val="19"/>
                <w:szCs w:val="19"/>
                <w:lang w:eastAsia="en-AU"/>
              </w:rPr>
              <w:t xml:space="preserve">Criminal Code 2002 </w:t>
            </w:r>
            <w:r w:rsidRPr="00DB2B77">
              <w:rPr>
                <w:rFonts w:asciiTheme="minorHAnsi" w:eastAsia="Times New Roman" w:hAnsiTheme="minorHAnsi" w:cstheme="minorHAnsi"/>
                <w:w w:val="100"/>
                <w:kern w:val="0"/>
                <w:sz w:val="19"/>
                <w:szCs w:val="19"/>
                <w:lang w:eastAsia="en-AU"/>
              </w:rPr>
              <w:t xml:space="preserve">(ACT), s 712(1)). </w:t>
            </w:r>
          </w:p>
        </w:tc>
        <w:tc>
          <w:tcPr>
            <w:tcW w:w="504" w:type="pct"/>
            <w:tcBorders>
              <w:top w:val="single" w:sz="4" w:space="0" w:color="auto"/>
              <w:left w:val="nil"/>
              <w:bottom w:val="single" w:sz="4" w:space="0" w:color="auto"/>
              <w:right w:val="nil"/>
            </w:tcBorders>
            <w:vAlign w:val="top"/>
            <w:hideMark/>
          </w:tcPr>
          <w:p w14:paraId="4B60E55A" w14:textId="77777777" w:rsidR="00030303" w:rsidRPr="00DB2B77" w:rsidRDefault="00030303" w:rsidP="00030303">
            <w:pPr>
              <w:spacing w:before="60" w:after="60" w:line="240" w:lineRule="atLeast"/>
              <w:rPr>
                <w:rFonts w:asciiTheme="minorHAnsi" w:eastAsia="Times New Roman" w:hAnsiTheme="minorHAnsi" w:cstheme="minorHAnsi"/>
                <w:w w:val="100"/>
                <w:kern w:val="0"/>
                <w:sz w:val="19"/>
                <w:szCs w:val="19"/>
                <w:highlight w:val="yellow"/>
                <w:lang w:eastAsia="en-AU"/>
              </w:rPr>
            </w:pPr>
            <w:r w:rsidRPr="00DB2B77">
              <w:rPr>
                <w:rFonts w:asciiTheme="minorHAnsi" w:eastAsia="Times New Roman" w:hAnsiTheme="minorHAnsi" w:cstheme="minorHAnsi"/>
                <w:w w:val="100"/>
                <w:kern w:val="0"/>
                <w:sz w:val="19"/>
                <w:szCs w:val="19"/>
                <w:lang w:eastAsia="en-AU"/>
              </w:rPr>
              <w:lastRenderedPageBreak/>
              <w:t>N/A</w:t>
            </w:r>
          </w:p>
        </w:tc>
        <w:tc>
          <w:tcPr>
            <w:tcW w:w="504" w:type="pct"/>
            <w:tcBorders>
              <w:top w:val="single" w:sz="4" w:space="0" w:color="auto"/>
              <w:left w:val="nil"/>
              <w:bottom w:val="single" w:sz="4" w:space="0" w:color="auto"/>
              <w:right w:val="nil"/>
            </w:tcBorders>
            <w:vAlign w:val="top"/>
            <w:hideMark/>
          </w:tcPr>
          <w:p w14:paraId="5F4B946C" w14:textId="77777777" w:rsidR="00030303" w:rsidRPr="00DB2B77" w:rsidRDefault="00030303" w:rsidP="00030303">
            <w:pPr>
              <w:spacing w:before="60" w:after="60" w:line="240" w:lineRule="atLeast"/>
              <w:rPr>
                <w:rFonts w:asciiTheme="minorHAnsi" w:eastAsia="Times New Roman" w:hAnsiTheme="minorHAnsi" w:cstheme="minorHAnsi"/>
                <w:w w:val="100"/>
                <w:kern w:val="0"/>
                <w:sz w:val="19"/>
                <w:szCs w:val="19"/>
                <w:highlight w:val="yellow"/>
                <w:lang w:eastAsia="en-AU"/>
              </w:rPr>
            </w:pPr>
            <w:r w:rsidRPr="00DB2B77">
              <w:rPr>
                <w:rFonts w:asciiTheme="minorHAnsi" w:eastAsia="Times New Roman" w:hAnsiTheme="minorHAnsi" w:cstheme="minorHAnsi"/>
                <w:w w:val="100"/>
                <w:kern w:val="0"/>
                <w:sz w:val="19"/>
                <w:szCs w:val="19"/>
                <w:lang w:eastAsia="en-AU"/>
              </w:rPr>
              <w:t>N/A</w:t>
            </w:r>
          </w:p>
        </w:tc>
        <w:tc>
          <w:tcPr>
            <w:tcW w:w="509" w:type="pct"/>
            <w:tcBorders>
              <w:top w:val="single" w:sz="4" w:space="0" w:color="auto"/>
              <w:left w:val="nil"/>
              <w:bottom w:val="single" w:sz="4" w:space="0" w:color="auto"/>
              <w:right w:val="nil"/>
            </w:tcBorders>
            <w:vAlign w:val="top"/>
            <w:hideMark/>
          </w:tcPr>
          <w:p w14:paraId="7189CE32" w14:textId="77777777" w:rsidR="00030303" w:rsidRPr="00DB2B77" w:rsidRDefault="00030303" w:rsidP="00030303">
            <w:pPr>
              <w:spacing w:before="60" w:after="60" w:line="240" w:lineRule="atLeast"/>
              <w:rPr>
                <w:rFonts w:asciiTheme="minorHAnsi" w:eastAsia="Times New Roman" w:hAnsiTheme="minorHAnsi" w:cstheme="minorHAnsi"/>
                <w:w w:val="100"/>
                <w:kern w:val="0"/>
                <w:sz w:val="19"/>
                <w:szCs w:val="19"/>
                <w:highlight w:val="yellow"/>
                <w:lang w:eastAsia="en-AU"/>
              </w:rPr>
            </w:pPr>
            <w:r w:rsidRPr="00DB2B77">
              <w:rPr>
                <w:rFonts w:asciiTheme="minorHAnsi" w:eastAsia="Times New Roman" w:hAnsiTheme="minorHAnsi" w:cstheme="minorHAnsi"/>
                <w:w w:val="100"/>
                <w:kern w:val="0"/>
                <w:sz w:val="19"/>
                <w:szCs w:val="19"/>
                <w:lang w:eastAsia="en-AU"/>
              </w:rPr>
              <w:t>N/A</w:t>
            </w:r>
            <w:r w:rsidRPr="00DB2B77">
              <w:rPr>
                <w:rFonts w:asciiTheme="minorHAnsi" w:eastAsia="Times New Roman" w:hAnsiTheme="minorHAnsi" w:cstheme="minorHAnsi"/>
                <w:w w:val="100"/>
                <w:kern w:val="0"/>
                <w:sz w:val="19"/>
                <w:szCs w:val="19"/>
                <w:vertAlign w:val="superscript"/>
                <w:lang w:eastAsia="en-AU"/>
              </w:rPr>
              <w:footnoteReference w:id="43"/>
            </w:r>
          </w:p>
        </w:tc>
        <w:tc>
          <w:tcPr>
            <w:tcW w:w="514" w:type="pct"/>
            <w:tcBorders>
              <w:top w:val="single" w:sz="4" w:space="0" w:color="auto"/>
              <w:left w:val="nil"/>
              <w:bottom w:val="single" w:sz="4" w:space="0" w:color="auto"/>
              <w:right w:val="nil"/>
            </w:tcBorders>
            <w:vAlign w:val="top"/>
            <w:hideMark/>
          </w:tcPr>
          <w:p w14:paraId="4EB841A2" w14:textId="77777777" w:rsidR="00030303" w:rsidRPr="00DB2B77" w:rsidRDefault="00030303" w:rsidP="00030303">
            <w:pPr>
              <w:spacing w:before="60" w:after="60" w:line="240" w:lineRule="atLeast"/>
              <w:rPr>
                <w:rFonts w:asciiTheme="minorHAnsi" w:eastAsia="Times New Roman" w:hAnsiTheme="minorHAnsi" w:cstheme="minorHAnsi"/>
                <w:w w:val="100"/>
                <w:kern w:val="0"/>
                <w:sz w:val="19"/>
                <w:szCs w:val="19"/>
                <w:highlight w:val="yellow"/>
                <w:lang w:eastAsia="en-AU"/>
              </w:rPr>
            </w:pPr>
            <w:r w:rsidRPr="00DB2B77">
              <w:rPr>
                <w:rFonts w:asciiTheme="minorHAnsi" w:eastAsia="Times New Roman" w:hAnsiTheme="minorHAnsi" w:cstheme="minorHAnsi"/>
                <w:w w:val="100"/>
                <w:kern w:val="0"/>
                <w:sz w:val="19"/>
                <w:szCs w:val="19"/>
                <w:lang w:eastAsia="en-AU"/>
              </w:rPr>
              <w:t>N/A</w:t>
            </w:r>
          </w:p>
        </w:tc>
        <w:tc>
          <w:tcPr>
            <w:tcW w:w="504" w:type="pct"/>
            <w:tcBorders>
              <w:top w:val="single" w:sz="4" w:space="0" w:color="auto"/>
              <w:left w:val="nil"/>
              <w:bottom w:val="single" w:sz="4" w:space="0" w:color="auto"/>
              <w:right w:val="nil"/>
            </w:tcBorders>
            <w:vAlign w:val="top"/>
            <w:hideMark/>
          </w:tcPr>
          <w:p w14:paraId="0DBACC3B" w14:textId="77777777" w:rsidR="00030303" w:rsidRPr="00DB2B77" w:rsidRDefault="00030303" w:rsidP="00030303">
            <w:pPr>
              <w:spacing w:before="60" w:after="60" w:line="240" w:lineRule="atLeast"/>
              <w:rPr>
                <w:rFonts w:asciiTheme="minorHAnsi" w:eastAsia="Times New Roman" w:hAnsiTheme="minorHAnsi" w:cstheme="minorHAnsi"/>
                <w:w w:val="100"/>
                <w:kern w:val="0"/>
                <w:sz w:val="19"/>
                <w:szCs w:val="19"/>
                <w:lang w:eastAsia="en-AU"/>
              </w:rPr>
            </w:pPr>
            <w:r w:rsidRPr="00DB2B77">
              <w:rPr>
                <w:rFonts w:asciiTheme="minorHAnsi" w:eastAsia="Times New Roman" w:hAnsiTheme="minorHAnsi" w:cstheme="minorHAnsi"/>
                <w:w w:val="100"/>
                <w:kern w:val="0"/>
                <w:sz w:val="19"/>
                <w:szCs w:val="19"/>
                <w:lang w:eastAsia="en-AU"/>
              </w:rPr>
              <w:t xml:space="preserve">It is an offence for a person to use, cause, inflict or procure any violence, punishment, damage, loss or disadvantage to another person for or on account of that other person having given evidence or produced or </w:t>
            </w:r>
            <w:r w:rsidRPr="00DB2B77">
              <w:rPr>
                <w:rFonts w:asciiTheme="minorHAnsi" w:eastAsia="Times New Roman" w:hAnsiTheme="minorHAnsi" w:cstheme="minorHAnsi"/>
                <w:w w:val="100"/>
                <w:kern w:val="0"/>
                <w:sz w:val="19"/>
                <w:szCs w:val="19"/>
                <w:lang w:eastAsia="en-AU"/>
              </w:rPr>
              <w:lastRenderedPageBreak/>
              <w:t>surrendered any document or thing, or any evidence given by that other person or any document or thing produced or surrendered by that other person to a Commission (s 33(2)).</w:t>
            </w:r>
            <w:r w:rsidRPr="00DB2B77">
              <w:rPr>
                <w:rFonts w:asciiTheme="minorHAnsi" w:eastAsia="Times New Roman" w:hAnsiTheme="minorHAnsi" w:cstheme="minorHAnsi"/>
                <w:w w:val="100"/>
                <w:kern w:val="0"/>
                <w:sz w:val="19"/>
                <w:szCs w:val="19"/>
                <w:vertAlign w:val="superscript"/>
                <w:lang w:eastAsia="en-AU"/>
              </w:rPr>
              <w:footnoteReference w:id="44"/>
            </w:r>
            <w:r w:rsidRPr="00DB2B77">
              <w:rPr>
                <w:rFonts w:asciiTheme="minorHAnsi" w:eastAsia="Times New Roman" w:hAnsiTheme="minorHAnsi" w:cstheme="minorHAnsi"/>
                <w:w w:val="100"/>
                <w:kern w:val="0"/>
                <w:sz w:val="19"/>
                <w:szCs w:val="19"/>
                <w:lang w:eastAsia="en-AU"/>
              </w:rPr>
              <w:t xml:space="preserve"> </w:t>
            </w:r>
          </w:p>
        </w:tc>
        <w:tc>
          <w:tcPr>
            <w:tcW w:w="477" w:type="pct"/>
            <w:tcBorders>
              <w:top w:val="single" w:sz="4" w:space="0" w:color="auto"/>
              <w:left w:val="nil"/>
              <w:bottom w:val="single" w:sz="4" w:space="0" w:color="auto"/>
              <w:right w:val="nil"/>
            </w:tcBorders>
            <w:vAlign w:val="top"/>
            <w:hideMark/>
          </w:tcPr>
          <w:p w14:paraId="5239A7E2" w14:textId="77777777" w:rsidR="00030303" w:rsidRPr="00DB2B77" w:rsidRDefault="00030303" w:rsidP="00030303">
            <w:pPr>
              <w:spacing w:before="60" w:after="60" w:line="240" w:lineRule="atLeast"/>
              <w:rPr>
                <w:rFonts w:asciiTheme="minorHAnsi" w:eastAsia="Times New Roman" w:hAnsiTheme="minorHAnsi" w:cstheme="minorHAnsi"/>
                <w:w w:val="100"/>
                <w:kern w:val="0"/>
                <w:sz w:val="19"/>
                <w:szCs w:val="19"/>
                <w:highlight w:val="yellow"/>
                <w:lang w:eastAsia="en-AU"/>
              </w:rPr>
            </w:pPr>
            <w:r w:rsidRPr="00DB2B77">
              <w:rPr>
                <w:rFonts w:asciiTheme="minorHAnsi" w:eastAsia="Times New Roman" w:hAnsiTheme="minorHAnsi" w:cstheme="minorHAnsi"/>
                <w:w w:val="100"/>
                <w:kern w:val="0"/>
                <w:sz w:val="19"/>
                <w:szCs w:val="19"/>
                <w:lang w:eastAsia="en-AU"/>
              </w:rPr>
              <w:lastRenderedPageBreak/>
              <w:t>N/A</w:t>
            </w:r>
          </w:p>
        </w:tc>
        <w:tc>
          <w:tcPr>
            <w:tcW w:w="514" w:type="pct"/>
            <w:tcBorders>
              <w:top w:val="single" w:sz="4" w:space="0" w:color="auto"/>
              <w:left w:val="nil"/>
              <w:bottom w:val="single" w:sz="4" w:space="0" w:color="auto"/>
              <w:right w:val="single" w:sz="4" w:space="0" w:color="auto"/>
            </w:tcBorders>
            <w:vAlign w:val="top"/>
            <w:hideMark/>
          </w:tcPr>
          <w:p w14:paraId="08EA68A4" w14:textId="77777777" w:rsidR="00030303" w:rsidRPr="00DB2B77" w:rsidRDefault="00030303" w:rsidP="00030303">
            <w:pPr>
              <w:spacing w:before="60" w:after="60" w:line="240" w:lineRule="atLeast"/>
              <w:rPr>
                <w:rFonts w:asciiTheme="minorHAnsi" w:eastAsia="Times New Roman" w:hAnsiTheme="minorHAnsi" w:cstheme="minorHAnsi"/>
                <w:w w:val="100"/>
                <w:kern w:val="0"/>
                <w:sz w:val="19"/>
                <w:szCs w:val="19"/>
                <w:lang w:eastAsia="en-AU"/>
              </w:rPr>
            </w:pPr>
            <w:r w:rsidRPr="00DB2B77">
              <w:rPr>
                <w:rFonts w:asciiTheme="minorHAnsi" w:eastAsia="Times New Roman" w:hAnsiTheme="minorHAnsi" w:cstheme="minorHAnsi"/>
                <w:w w:val="100"/>
                <w:kern w:val="0"/>
                <w:sz w:val="19"/>
                <w:szCs w:val="19"/>
                <w:lang w:eastAsia="en-AU"/>
              </w:rPr>
              <w:t xml:space="preserve">It is an offence for a person to use, cause, inflict, or procure, any violence, punishment, damage, loss, or disadvantage to any other person for or </w:t>
            </w:r>
            <w:bookmarkStart w:id="15" w:name="_Hlk93071289"/>
            <w:r w:rsidRPr="00DB2B77">
              <w:rPr>
                <w:rFonts w:asciiTheme="minorHAnsi" w:eastAsia="Times New Roman" w:hAnsiTheme="minorHAnsi" w:cstheme="minorHAnsi"/>
                <w:w w:val="100"/>
                <w:kern w:val="0"/>
                <w:sz w:val="19"/>
                <w:szCs w:val="19"/>
                <w:lang w:eastAsia="en-AU"/>
              </w:rPr>
              <w:t>on account of that person having appeared as a witness</w:t>
            </w:r>
            <w:bookmarkEnd w:id="15"/>
            <w:r w:rsidRPr="00DB2B77">
              <w:rPr>
                <w:rFonts w:asciiTheme="minorHAnsi" w:eastAsia="Times New Roman" w:hAnsiTheme="minorHAnsi" w:cstheme="minorHAnsi"/>
                <w:w w:val="100"/>
                <w:kern w:val="0"/>
                <w:sz w:val="19"/>
                <w:szCs w:val="19"/>
                <w:lang w:eastAsia="en-AU"/>
              </w:rPr>
              <w:t xml:space="preserve">, or for or on account of any evidence given before </w:t>
            </w:r>
            <w:r w:rsidRPr="00DB2B77">
              <w:rPr>
                <w:rFonts w:asciiTheme="minorHAnsi" w:eastAsia="Times New Roman" w:hAnsiTheme="minorHAnsi" w:cstheme="minorHAnsi"/>
                <w:w w:val="100"/>
                <w:kern w:val="0"/>
                <w:sz w:val="19"/>
                <w:szCs w:val="19"/>
                <w:lang w:eastAsia="en-AU"/>
              </w:rPr>
              <w:lastRenderedPageBreak/>
              <w:t>any Commission (s 29).</w:t>
            </w:r>
          </w:p>
        </w:tc>
      </w:tr>
      <w:tr w:rsidR="00030303" w:rsidRPr="00DB2B77" w14:paraId="6BFAF60C" w14:textId="77777777" w:rsidTr="00030303">
        <w:tc>
          <w:tcPr>
            <w:tcW w:w="467" w:type="pct"/>
            <w:tcBorders>
              <w:top w:val="single" w:sz="4" w:space="0" w:color="auto"/>
              <w:left w:val="single" w:sz="4" w:space="0" w:color="auto"/>
              <w:bottom w:val="single" w:sz="4" w:space="0" w:color="auto"/>
              <w:right w:val="nil"/>
            </w:tcBorders>
            <w:vAlign w:val="top"/>
            <w:hideMark/>
          </w:tcPr>
          <w:p w14:paraId="249E98CA" w14:textId="77777777" w:rsidR="00030303" w:rsidRPr="00DB2B77" w:rsidRDefault="00030303" w:rsidP="00030303">
            <w:pPr>
              <w:spacing w:before="60" w:after="60" w:line="240" w:lineRule="atLeast"/>
              <w:rPr>
                <w:rFonts w:asciiTheme="minorHAnsi" w:eastAsia="Times New Roman" w:hAnsiTheme="minorHAnsi" w:cstheme="minorHAnsi"/>
                <w:b/>
                <w:w w:val="100"/>
                <w:kern w:val="0"/>
                <w:sz w:val="19"/>
                <w:szCs w:val="19"/>
                <w:lang w:eastAsia="en-AU"/>
              </w:rPr>
            </w:pPr>
            <w:r w:rsidRPr="00DB2B77">
              <w:rPr>
                <w:rFonts w:asciiTheme="minorHAnsi" w:eastAsia="Times New Roman" w:hAnsiTheme="minorHAnsi" w:cstheme="minorHAnsi"/>
                <w:b/>
                <w:w w:val="100"/>
                <w:kern w:val="0"/>
                <w:sz w:val="19"/>
                <w:szCs w:val="19"/>
                <w:lang w:eastAsia="en-AU"/>
              </w:rPr>
              <w:lastRenderedPageBreak/>
              <w:t>Specific injury/detriment: prejudice to witness’s employment</w:t>
            </w:r>
          </w:p>
        </w:tc>
        <w:tc>
          <w:tcPr>
            <w:tcW w:w="503" w:type="pct"/>
            <w:tcBorders>
              <w:top w:val="single" w:sz="4" w:space="0" w:color="auto"/>
              <w:left w:val="nil"/>
              <w:bottom w:val="single" w:sz="4" w:space="0" w:color="auto"/>
              <w:right w:val="nil"/>
            </w:tcBorders>
            <w:shd w:val="clear" w:color="auto" w:fill="D9D9D9"/>
            <w:vAlign w:val="top"/>
            <w:hideMark/>
          </w:tcPr>
          <w:p w14:paraId="735841B7" w14:textId="77777777" w:rsidR="00030303" w:rsidRPr="00DB2B77" w:rsidRDefault="00030303" w:rsidP="00030303">
            <w:pPr>
              <w:spacing w:before="60" w:after="60" w:line="240" w:lineRule="atLeast"/>
              <w:rPr>
                <w:rFonts w:asciiTheme="minorHAnsi" w:eastAsia="Times New Roman" w:hAnsiTheme="minorHAnsi" w:cstheme="minorHAnsi"/>
                <w:w w:val="100"/>
                <w:kern w:val="0"/>
                <w:sz w:val="19"/>
                <w:szCs w:val="19"/>
                <w:lang w:eastAsia="en-AU"/>
              </w:rPr>
            </w:pPr>
            <w:r w:rsidRPr="00DB2B77">
              <w:rPr>
                <w:rFonts w:asciiTheme="minorHAnsi" w:eastAsia="Times New Roman" w:hAnsiTheme="minorHAnsi" w:cstheme="minorHAnsi"/>
                <w:w w:val="100"/>
                <w:kern w:val="0"/>
                <w:sz w:val="19"/>
                <w:szCs w:val="19"/>
                <w:lang w:eastAsia="en-AU"/>
              </w:rPr>
              <w:t xml:space="preserve">It is an offence for an employer to dismiss any employee, or prejudice any employee’s employment, for or on account of the employee having appeared as a witness or given </w:t>
            </w:r>
            <w:r w:rsidRPr="00DB2B77">
              <w:rPr>
                <w:rFonts w:asciiTheme="minorHAnsi" w:eastAsia="Times New Roman" w:hAnsiTheme="minorHAnsi" w:cstheme="minorHAnsi"/>
                <w:w w:val="100"/>
                <w:kern w:val="0"/>
                <w:sz w:val="19"/>
                <w:szCs w:val="19"/>
                <w:lang w:eastAsia="en-AU"/>
              </w:rPr>
              <w:lastRenderedPageBreak/>
              <w:t>evidence, or produced a document or thing, or given information or a statement, pursuant to a summons, requirement or notice, to a Royal Commission (s 6</w:t>
            </w:r>
            <w:proofErr w:type="gramStart"/>
            <w:r w:rsidRPr="00DB2B77">
              <w:rPr>
                <w:rFonts w:asciiTheme="minorHAnsi" w:eastAsia="Times New Roman" w:hAnsiTheme="minorHAnsi" w:cstheme="minorHAnsi"/>
                <w:w w:val="100"/>
                <w:kern w:val="0"/>
                <w:sz w:val="19"/>
                <w:szCs w:val="19"/>
                <w:lang w:eastAsia="en-AU"/>
              </w:rPr>
              <w:t>N(</w:t>
            </w:r>
            <w:proofErr w:type="gramEnd"/>
            <w:r w:rsidRPr="00DB2B77">
              <w:rPr>
                <w:rFonts w:asciiTheme="minorHAnsi" w:eastAsia="Times New Roman" w:hAnsiTheme="minorHAnsi" w:cstheme="minorHAnsi"/>
                <w:w w:val="100"/>
                <w:kern w:val="0"/>
                <w:sz w:val="19"/>
                <w:szCs w:val="19"/>
                <w:lang w:eastAsia="en-AU"/>
              </w:rPr>
              <w:t>1)).</w:t>
            </w:r>
            <w:r w:rsidRPr="00DB2B77">
              <w:rPr>
                <w:rFonts w:asciiTheme="minorHAnsi" w:eastAsia="Times New Roman" w:hAnsiTheme="minorHAnsi" w:cstheme="minorHAnsi"/>
                <w:w w:val="100"/>
                <w:kern w:val="0"/>
                <w:sz w:val="19"/>
                <w:szCs w:val="19"/>
                <w:vertAlign w:val="superscript"/>
                <w:lang w:eastAsia="en-AU"/>
              </w:rPr>
              <w:footnoteReference w:id="45"/>
            </w:r>
          </w:p>
        </w:tc>
        <w:tc>
          <w:tcPr>
            <w:tcW w:w="504" w:type="pct"/>
            <w:tcBorders>
              <w:top w:val="single" w:sz="4" w:space="0" w:color="auto"/>
              <w:left w:val="nil"/>
              <w:bottom w:val="single" w:sz="4" w:space="0" w:color="auto"/>
              <w:right w:val="nil"/>
            </w:tcBorders>
            <w:vAlign w:val="top"/>
            <w:hideMark/>
          </w:tcPr>
          <w:p w14:paraId="1BDDFC7F" w14:textId="77777777" w:rsidR="00030303" w:rsidRPr="00DB2B77" w:rsidRDefault="00030303" w:rsidP="00030303">
            <w:pPr>
              <w:spacing w:before="60" w:after="60" w:line="240" w:lineRule="atLeast"/>
              <w:rPr>
                <w:rFonts w:asciiTheme="minorHAnsi" w:eastAsia="Times New Roman" w:hAnsiTheme="minorHAnsi" w:cstheme="minorHAnsi"/>
                <w:w w:val="100"/>
                <w:kern w:val="0"/>
                <w:sz w:val="19"/>
                <w:szCs w:val="19"/>
                <w:lang w:eastAsia="en-AU"/>
              </w:rPr>
            </w:pPr>
            <w:r w:rsidRPr="00DB2B77">
              <w:rPr>
                <w:rFonts w:asciiTheme="minorHAnsi" w:eastAsia="Times New Roman" w:hAnsiTheme="minorHAnsi" w:cstheme="minorHAnsi"/>
                <w:w w:val="100"/>
                <w:kern w:val="0"/>
                <w:sz w:val="19"/>
                <w:szCs w:val="19"/>
                <w:lang w:eastAsia="en-AU"/>
              </w:rPr>
              <w:lastRenderedPageBreak/>
              <w:t>N/A</w:t>
            </w:r>
          </w:p>
        </w:tc>
        <w:tc>
          <w:tcPr>
            <w:tcW w:w="504" w:type="pct"/>
            <w:tcBorders>
              <w:top w:val="single" w:sz="4" w:space="0" w:color="auto"/>
              <w:left w:val="nil"/>
              <w:bottom w:val="single" w:sz="4" w:space="0" w:color="auto"/>
              <w:right w:val="nil"/>
            </w:tcBorders>
            <w:vAlign w:val="top"/>
            <w:hideMark/>
          </w:tcPr>
          <w:p w14:paraId="2E2C6715" w14:textId="77777777" w:rsidR="00030303" w:rsidRPr="00DB2B77" w:rsidRDefault="00030303" w:rsidP="00030303">
            <w:pPr>
              <w:spacing w:before="60" w:after="60" w:line="240" w:lineRule="atLeast"/>
              <w:rPr>
                <w:rFonts w:asciiTheme="minorHAnsi" w:eastAsia="Times New Roman" w:hAnsiTheme="minorHAnsi" w:cstheme="minorHAnsi"/>
                <w:i/>
                <w:w w:val="100"/>
                <w:kern w:val="0"/>
                <w:sz w:val="19"/>
                <w:szCs w:val="19"/>
                <w:highlight w:val="yellow"/>
                <w:lang w:eastAsia="en-AU"/>
              </w:rPr>
            </w:pPr>
            <w:r w:rsidRPr="00DB2B77">
              <w:rPr>
                <w:rFonts w:asciiTheme="minorHAnsi" w:eastAsia="Times New Roman" w:hAnsiTheme="minorHAnsi" w:cstheme="minorHAnsi"/>
                <w:w w:val="100"/>
                <w:kern w:val="0"/>
                <w:sz w:val="19"/>
                <w:szCs w:val="19"/>
                <w:lang w:eastAsia="en-AU"/>
              </w:rPr>
              <w:t>N/A</w:t>
            </w:r>
          </w:p>
        </w:tc>
        <w:tc>
          <w:tcPr>
            <w:tcW w:w="504" w:type="pct"/>
            <w:tcBorders>
              <w:top w:val="single" w:sz="4" w:space="0" w:color="auto"/>
              <w:left w:val="nil"/>
              <w:bottom w:val="single" w:sz="4" w:space="0" w:color="auto"/>
              <w:right w:val="nil"/>
            </w:tcBorders>
            <w:vAlign w:val="top"/>
            <w:hideMark/>
          </w:tcPr>
          <w:p w14:paraId="787B6D63" w14:textId="77777777" w:rsidR="00030303" w:rsidRPr="00DB2B77" w:rsidRDefault="00030303" w:rsidP="00030303">
            <w:pPr>
              <w:spacing w:before="60" w:after="60" w:line="240" w:lineRule="atLeast"/>
              <w:rPr>
                <w:rFonts w:asciiTheme="minorHAnsi" w:eastAsia="Times New Roman" w:hAnsiTheme="minorHAnsi" w:cstheme="minorHAnsi"/>
                <w:w w:val="100"/>
                <w:kern w:val="0"/>
                <w:sz w:val="19"/>
                <w:szCs w:val="19"/>
                <w:lang w:eastAsia="en-AU"/>
              </w:rPr>
            </w:pPr>
            <w:r w:rsidRPr="00DB2B77">
              <w:rPr>
                <w:rFonts w:asciiTheme="minorHAnsi" w:eastAsia="Times New Roman" w:hAnsiTheme="minorHAnsi" w:cstheme="minorHAnsi"/>
                <w:w w:val="100"/>
                <w:kern w:val="0"/>
                <w:sz w:val="19"/>
                <w:szCs w:val="19"/>
                <w:lang w:eastAsia="en-AU"/>
              </w:rPr>
              <w:t>N/A</w:t>
            </w:r>
          </w:p>
        </w:tc>
        <w:tc>
          <w:tcPr>
            <w:tcW w:w="509" w:type="pct"/>
            <w:tcBorders>
              <w:top w:val="single" w:sz="4" w:space="0" w:color="auto"/>
              <w:left w:val="nil"/>
              <w:bottom w:val="single" w:sz="4" w:space="0" w:color="auto"/>
              <w:right w:val="nil"/>
            </w:tcBorders>
            <w:vAlign w:val="top"/>
            <w:hideMark/>
          </w:tcPr>
          <w:p w14:paraId="32206A39" w14:textId="77777777" w:rsidR="00030303" w:rsidRPr="00DB2B77" w:rsidRDefault="00030303" w:rsidP="00030303">
            <w:pPr>
              <w:spacing w:before="60" w:after="60" w:line="240" w:lineRule="atLeast"/>
              <w:rPr>
                <w:rFonts w:asciiTheme="minorHAnsi" w:eastAsia="Times New Roman" w:hAnsiTheme="minorHAnsi" w:cstheme="minorHAnsi"/>
                <w:w w:val="100"/>
                <w:kern w:val="0"/>
                <w:sz w:val="19"/>
                <w:szCs w:val="19"/>
                <w:lang w:eastAsia="en-AU"/>
              </w:rPr>
            </w:pPr>
            <w:r w:rsidRPr="00DB2B77">
              <w:rPr>
                <w:rFonts w:asciiTheme="minorHAnsi" w:eastAsia="Times New Roman" w:hAnsiTheme="minorHAnsi" w:cstheme="minorHAnsi"/>
                <w:w w:val="100"/>
                <w:kern w:val="0"/>
                <w:sz w:val="19"/>
                <w:szCs w:val="19"/>
                <w:lang w:eastAsia="en-AU"/>
              </w:rPr>
              <w:t>It is an offence for an</w:t>
            </w:r>
            <w:r w:rsidRPr="00DB2B77">
              <w:rPr>
                <w:rFonts w:asciiTheme="minorHAnsi" w:eastAsia="Times New Roman" w:hAnsiTheme="minorHAnsi" w:cstheme="minorHAnsi"/>
                <w:b/>
                <w:w w:val="100"/>
                <w:kern w:val="0"/>
                <w:sz w:val="19"/>
                <w:szCs w:val="19"/>
                <w:lang w:eastAsia="en-AU"/>
              </w:rPr>
              <w:t xml:space="preserve"> </w:t>
            </w:r>
            <w:r w:rsidRPr="00DB2B77">
              <w:rPr>
                <w:rFonts w:asciiTheme="minorHAnsi" w:eastAsia="Times New Roman" w:hAnsiTheme="minorHAnsi" w:cstheme="minorHAnsi"/>
                <w:w w:val="100"/>
                <w:kern w:val="0"/>
                <w:sz w:val="19"/>
                <w:szCs w:val="19"/>
                <w:lang w:eastAsia="en-AU"/>
              </w:rPr>
              <w:t>employer to dismiss any employee from</w:t>
            </w:r>
            <w:r w:rsidRPr="00DB2B77">
              <w:rPr>
                <w:rFonts w:asciiTheme="minorHAnsi" w:eastAsia="Times New Roman" w:hAnsiTheme="minorHAnsi" w:cstheme="minorHAnsi"/>
                <w:b/>
                <w:w w:val="100"/>
                <w:kern w:val="0"/>
                <w:sz w:val="19"/>
                <w:szCs w:val="19"/>
                <w:lang w:eastAsia="en-AU"/>
              </w:rPr>
              <w:t xml:space="preserve"> </w:t>
            </w:r>
            <w:r w:rsidRPr="00DB2B77">
              <w:rPr>
                <w:rFonts w:asciiTheme="minorHAnsi" w:eastAsia="Times New Roman" w:hAnsiTheme="minorHAnsi" w:cstheme="minorHAnsi"/>
                <w:w w:val="100"/>
                <w:kern w:val="0"/>
                <w:sz w:val="19"/>
                <w:szCs w:val="19"/>
                <w:lang w:eastAsia="en-AU"/>
              </w:rPr>
              <w:t xml:space="preserve">employment, or prejudice any employee in employment, for or on account of the employee </w:t>
            </w:r>
            <w:r w:rsidRPr="00DB2B77">
              <w:rPr>
                <w:rFonts w:asciiTheme="minorHAnsi" w:eastAsia="Times New Roman" w:hAnsiTheme="minorHAnsi" w:cstheme="minorHAnsi"/>
                <w:w w:val="100"/>
                <w:kern w:val="0"/>
                <w:sz w:val="19"/>
                <w:szCs w:val="19"/>
                <w:lang w:eastAsia="en-AU"/>
              </w:rPr>
              <w:lastRenderedPageBreak/>
              <w:t>having appeared as a witness before a Commission, or for or on account of the employee having given evidence before a Commission (s 23).</w:t>
            </w:r>
          </w:p>
        </w:tc>
        <w:tc>
          <w:tcPr>
            <w:tcW w:w="514" w:type="pct"/>
            <w:tcBorders>
              <w:top w:val="single" w:sz="4" w:space="0" w:color="auto"/>
              <w:left w:val="nil"/>
              <w:bottom w:val="single" w:sz="4" w:space="0" w:color="auto"/>
              <w:right w:val="nil"/>
            </w:tcBorders>
            <w:vAlign w:val="top"/>
            <w:hideMark/>
          </w:tcPr>
          <w:p w14:paraId="2097DEE8" w14:textId="77777777" w:rsidR="00030303" w:rsidRPr="00DB2B77" w:rsidRDefault="00030303" w:rsidP="00030303">
            <w:pPr>
              <w:spacing w:before="60" w:after="60" w:line="240" w:lineRule="atLeast"/>
              <w:rPr>
                <w:rFonts w:asciiTheme="minorHAnsi" w:eastAsia="Times New Roman" w:hAnsiTheme="minorHAnsi" w:cstheme="minorHAnsi"/>
                <w:w w:val="100"/>
                <w:kern w:val="0"/>
                <w:sz w:val="19"/>
                <w:szCs w:val="19"/>
                <w:highlight w:val="yellow"/>
                <w:lang w:eastAsia="en-AU"/>
              </w:rPr>
            </w:pPr>
            <w:r w:rsidRPr="00DB2B77">
              <w:rPr>
                <w:rFonts w:asciiTheme="minorHAnsi" w:eastAsia="Times New Roman" w:hAnsiTheme="minorHAnsi" w:cstheme="minorHAnsi"/>
                <w:w w:val="100"/>
                <w:kern w:val="0"/>
                <w:sz w:val="19"/>
                <w:szCs w:val="19"/>
                <w:lang w:eastAsia="en-AU"/>
              </w:rPr>
              <w:lastRenderedPageBreak/>
              <w:t>N/A</w:t>
            </w:r>
          </w:p>
        </w:tc>
        <w:tc>
          <w:tcPr>
            <w:tcW w:w="504" w:type="pct"/>
            <w:tcBorders>
              <w:top w:val="single" w:sz="4" w:space="0" w:color="auto"/>
              <w:left w:val="nil"/>
              <w:bottom w:val="single" w:sz="4" w:space="0" w:color="auto"/>
              <w:right w:val="nil"/>
            </w:tcBorders>
            <w:vAlign w:val="top"/>
            <w:hideMark/>
          </w:tcPr>
          <w:p w14:paraId="7D4F27B8" w14:textId="77777777" w:rsidR="00030303" w:rsidRPr="00DB2B77" w:rsidRDefault="00030303" w:rsidP="00030303">
            <w:pPr>
              <w:spacing w:before="60" w:after="60" w:line="240" w:lineRule="atLeast"/>
              <w:rPr>
                <w:rFonts w:asciiTheme="minorHAnsi" w:eastAsia="Times New Roman" w:hAnsiTheme="minorHAnsi" w:cstheme="minorHAnsi"/>
                <w:w w:val="100"/>
                <w:kern w:val="0"/>
                <w:sz w:val="19"/>
                <w:szCs w:val="19"/>
                <w:lang w:eastAsia="en-AU"/>
              </w:rPr>
            </w:pPr>
            <w:r w:rsidRPr="00DB2B77">
              <w:rPr>
                <w:rFonts w:asciiTheme="minorHAnsi" w:eastAsia="Times New Roman" w:hAnsiTheme="minorHAnsi" w:cstheme="minorHAnsi"/>
                <w:w w:val="100"/>
                <w:kern w:val="0"/>
                <w:sz w:val="19"/>
                <w:szCs w:val="19"/>
                <w:lang w:eastAsia="en-AU"/>
              </w:rPr>
              <w:t xml:space="preserve">It is an offence for an employer to dismiss an employee from employment or prejudice an employee in employment for or on account of </w:t>
            </w:r>
            <w:r w:rsidRPr="00DB2B77">
              <w:rPr>
                <w:rFonts w:asciiTheme="minorHAnsi" w:eastAsia="Times New Roman" w:hAnsiTheme="minorHAnsi" w:cstheme="minorHAnsi"/>
                <w:w w:val="100"/>
                <w:kern w:val="0"/>
                <w:sz w:val="19"/>
                <w:szCs w:val="19"/>
                <w:lang w:eastAsia="en-AU"/>
              </w:rPr>
              <w:lastRenderedPageBreak/>
              <w:t>that employee having given evidence or produced or surrendered any document or thing, or for or on account of any evidence given by that employee before a Commission or any document or thing produced or surrendered by that employee to a Commission (s 33(3)).</w:t>
            </w:r>
            <w:r w:rsidRPr="00DB2B77">
              <w:rPr>
                <w:rFonts w:asciiTheme="minorHAnsi" w:eastAsia="Times New Roman" w:hAnsiTheme="minorHAnsi" w:cstheme="minorHAnsi"/>
                <w:w w:val="100"/>
                <w:kern w:val="0"/>
                <w:sz w:val="19"/>
                <w:szCs w:val="19"/>
                <w:vertAlign w:val="superscript"/>
                <w:lang w:eastAsia="en-AU"/>
              </w:rPr>
              <w:footnoteReference w:id="46"/>
            </w:r>
          </w:p>
        </w:tc>
        <w:tc>
          <w:tcPr>
            <w:tcW w:w="477" w:type="pct"/>
            <w:tcBorders>
              <w:top w:val="single" w:sz="4" w:space="0" w:color="auto"/>
              <w:left w:val="nil"/>
              <w:bottom w:val="single" w:sz="4" w:space="0" w:color="auto"/>
              <w:right w:val="nil"/>
            </w:tcBorders>
            <w:vAlign w:val="top"/>
            <w:hideMark/>
          </w:tcPr>
          <w:p w14:paraId="60B3BBF2" w14:textId="77777777" w:rsidR="00030303" w:rsidRPr="00DB2B77" w:rsidRDefault="00030303" w:rsidP="00030303">
            <w:pPr>
              <w:spacing w:before="60" w:after="60" w:line="240" w:lineRule="atLeast"/>
              <w:rPr>
                <w:rFonts w:asciiTheme="minorHAnsi" w:eastAsia="Times New Roman" w:hAnsiTheme="minorHAnsi" w:cstheme="minorHAnsi"/>
                <w:w w:val="100"/>
                <w:kern w:val="0"/>
                <w:sz w:val="19"/>
                <w:szCs w:val="19"/>
                <w:lang w:eastAsia="en-AU"/>
              </w:rPr>
            </w:pPr>
            <w:r w:rsidRPr="00DB2B77">
              <w:rPr>
                <w:rFonts w:asciiTheme="minorHAnsi" w:eastAsia="Times New Roman" w:hAnsiTheme="minorHAnsi" w:cstheme="minorHAnsi"/>
                <w:w w:val="100"/>
                <w:kern w:val="0"/>
                <w:sz w:val="19"/>
                <w:szCs w:val="19"/>
                <w:lang w:eastAsia="en-AU"/>
              </w:rPr>
              <w:lastRenderedPageBreak/>
              <w:t xml:space="preserve">It is an offence for a person who conducts a business or other undertaking to take or threaten to take detrimental action </w:t>
            </w:r>
            <w:r w:rsidRPr="00DB2B77">
              <w:rPr>
                <w:rFonts w:asciiTheme="minorHAnsi" w:eastAsia="Times New Roman" w:hAnsiTheme="minorHAnsi" w:cstheme="minorHAnsi"/>
                <w:w w:val="100"/>
                <w:kern w:val="0"/>
                <w:sz w:val="19"/>
                <w:szCs w:val="19"/>
                <w:lang w:eastAsia="en-AU"/>
              </w:rPr>
              <w:lastRenderedPageBreak/>
              <w:t>(including dismissal: s 3) against a worker of the business or other undertaking because the worker has (lawfully: see s 51(3)) given information to a Royal Commission the person believes that the worker has given or will give information to a Royal Commission (s 51(1)).</w:t>
            </w:r>
          </w:p>
          <w:p w14:paraId="6A3E27BA" w14:textId="77777777" w:rsidR="00030303" w:rsidRPr="00DB2B77" w:rsidRDefault="00030303" w:rsidP="00030303">
            <w:pPr>
              <w:spacing w:before="60" w:after="60" w:line="240" w:lineRule="atLeast"/>
              <w:rPr>
                <w:rFonts w:asciiTheme="minorHAnsi" w:eastAsia="Times New Roman" w:hAnsiTheme="minorHAnsi" w:cstheme="minorHAnsi"/>
                <w:w w:val="100"/>
                <w:kern w:val="0"/>
                <w:sz w:val="19"/>
                <w:szCs w:val="19"/>
                <w:lang w:eastAsia="en-AU"/>
              </w:rPr>
            </w:pPr>
            <w:r w:rsidRPr="00DB2B77">
              <w:rPr>
                <w:rFonts w:asciiTheme="minorHAnsi" w:eastAsia="Times New Roman" w:hAnsiTheme="minorHAnsi" w:cstheme="minorHAnsi"/>
                <w:w w:val="100"/>
                <w:kern w:val="0"/>
                <w:sz w:val="19"/>
                <w:szCs w:val="19"/>
                <w:lang w:eastAsia="en-AU"/>
              </w:rPr>
              <w:t xml:space="preserve">Equivalent provisions apply in respect of </w:t>
            </w:r>
            <w:r w:rsidRPr="00DB2B77">
              <w:rPr>
                <w:rFonts w:asciiTheme="minorHAnsi" w:eastAsia="Times New Roman" w:hAnsiTheme="minorHAnsi" w:cstheme="minorHAnsi"/>
                <w:w w:val="100"/>
                <w:kern w:val="0"/>
                <w:sz w:val="19"/>
                <w:szCs w:val="19"/>
                <w:lang w:eastAsia="en-AU"/>
              </w:rPr>
              <w:lastRenderedPageBreak/>
              <w:t>Boards of Inquiry (s 91) and Formal Reviews (s 121).</w:t>
            </w:r>
          </w:p>
        </w:tc>
        <w:tc>
          <w:tcPr>
            <w:tcW w:w="514" w:type="pct"/>
            <w:tcBorders>
              <w:top w:val="single" w:sz="4" w:space="0" w:color="auto"/>
              <w:left w:val="nil"/>
              <w:bottom w:val="single" w:sz="4" w:space="0" w:color="auto"/>
              <w:right w:val="single" w:sz="4" w:space="0" w:color="auto"/>
            </w:tcBorders>
            <w:vAlign w:val="top"/>
            <w:hideMark/>
          </w:tcPr>
          <w:p w14:paraId="6D86EB3A" w14:textId="77777777" w:rsidR="00030303" w:rsidRPr="00DB2B77" w:rsidRDefault="00030303" w:rsidP="00030303">
            <w:pPr>
              <w:spacing w:before="60" w:after="60" w:line="240" w:lineRule="atLeast"/>
              <w:rPr>
                <w:rFonts w:asciiTheme="minorHAnsi" w:eastAsia="Times New Roman" w:hAnsiTheme="minorHAnsi" w:cstheme="minorHAnsi"/>
                <w:b/>
                <w:w w:val="100"/>
                <w:kern w:val="0"/>
                <w:sz w:val="19"/>
                <w:szCs w:val="19"/>
                <w:lang w:eastAsia="en-AU"/>
              </w:rPr>
            </w:pPr>
            <w:r w:rsidRPr="00DB2B77">
              <w:rPr>
                <w:rFonts w:asciiTheme="minorHAnsi" w:eastAsia="Times New Roman" w:hAnsiTheme="minorHAnsi" w:cstheme="minorHAnsi"/>
                <w:w w:val="100"/>
                <w:kern w:val="0"/>
                <w:sz w:val="19"/>
                <w:szCs w:val="19"/>
                <w:lang w:eastAsia="en-AU"/>
              </w:rPr>
              <w:lastRenderedPageBreak/>
              <w:t>It is an offence for an</w:t>
            </w:r>
            <w:r w:rsidRPr="00DB2B77">
              <w:rPr>
                <w:rFonts w:asciiTheme="minorHAnsi" w:eastAsia="Times New Roman" w:hAnsiTheme="minorHAnsi" w:cstheme="minorHAnsi"/>
                <w:b/>
                <w:w w:val="100"/>
                <w:kern w:val="0"/>
                <w:sz w:val="19"/>
                <w:szCs w:val="19"/>
                <w:lang w:eastAsia="en-AU"/>
              </w:rPr>
              <w:t xml:space="preserve"> </w:t>
            </w:r>
            <w:r w:rsidRPr="00DB2B77">
              <w:rPr>
                <w:rFonts w:asciiTheme="minorHAnsi" w:eastAsia="Times New Roman" w:hAnsiTheme="minorHAnsi" w:cstheme="minorHAnsi"/>
                <w:w w:val="100"/>
                <w:kern w:val="0"/>
                <w:sz w:val="19"/>
                <w:szCs w:val="19"/>
                <w:lang w:eastAsia="en-AU"/>
              </w:rPr>
              <w:t xml:space="preserve">employer to dismiss an employee from employment, or prejudices an employee’s employment, for or on account of the employee having appeared as a </w:t>
            </w:r>
            <w:r w:rsidRPr="00DB2B77">
              <w:rPr>
                <w:rFonts w:asciiTheme="minorHAnsi" w:eastAsia="Times New Roman" w:hAnsiTheme="minorHAnsi" w:cstheme="minorHAnsi"/>
                <w:w w:val="100"/>
                <w:kern w:val="0"/>
                <w:sz w:val="19"/>
                <w:szCs w:val="19"/>
                <w:lang w:eastAsia="en-AU"/>
              </w:rPr>
              <w:lastRenderedPageBreak/>
              <w:t>witness before a Commission, or for or on account of the employee having given evidence before a Commission (s 30(1)).</w:t>
            </w:r>
          </w:p>
        </w:tc>
      </w:tr>
    </w:tbl>
    <w:p w14:paraId="15BE0C72" w14:textId="77777777" w:rsidR="00030303" w:rsidRDefault="00030303" w:rsidP="00030303">
      <w:pPr>
        <w:rPr>
          <w:rFonts w:asciiTheme="minorHAnsi" w:hAnsiTheme="minorHAnsi" w:cstheme="minorHAnsi"/>
          <w:lang w:val="en-GB"/>
        </w:rPr>
      </w:pPr>
    </w:p>
    <w:p w14:paraId="36F01C0D" w14:textId="77777777" w:rsidR="00030303" w:rsidRDefault="00030303" w:rsidP="00030303">
      <w:pPr>
        <w:rPr>
          <w:rFonts w:asciiTheme="minorHAnsi" w:hAnsiTheme="minorHAnsi" w:cstheme="minorHAnsi"/>
          <w:lang w:val="en-GB"/>
        </w:rPr>
      </w:pPr>
    </w:p>
    <w:p w14:paraId="3470DFC3" w14:textId="77777777" w:rsidR="00030303" w:rsidRDefault="00030303" w:rsidP="00030303"/>
    <w:p w14:paraId="167955DF" w14:textId="76C31BDA" w:rsidR="00030303" w:rsidRDefault="00030303">
      <w:pPr>
        <w:spacing w:after="160" w:line="259" w:lineRule="auto"/>
      </w:pPr>
      <w:r>
        <w:br w:type="page"/>
      </w:r>
    </w:p>
    <w:p w14:paraId="7810A005" w14:textId="77777777" w:rsidR="00030303" w:rsidRPr="0095643D" w:rsidRDefault="00030303" w:rsidP="00030303">
      <w:pPr>
        <w:pStyle w:val="Heading1"/>
        <w:tabs>
          <w:tab w:val="clear" w:pos="850"/>
          <w:tab w:val="num" w:pos="0"/>
        </w:tabs>
        <w:ind w:left="0" w:firstLine="0"/>
        <w:rPr>
          <w:sz w:val="36"/>
          <w:szCs w:val="36"/>
          <w:lang w:eastAsia="en-AU"/>
        </w:rPr>
      </w:pPr>
      <w:r w:rsidRPr="0095643D">
        <w:rPr>
          <w:sz w:val="36"/>
          <w:szCs w:val="36"/>
          <w:lang w:eastAsia="en-AU"/>
        </w:rPr>
        <w:lastRenderedPageBreak/>
        <w:t xml:space="preserve">Appendix </w:t>
      </w:r>
      <w:r>
        <w:rPr>
          <w:sz w:val="36"/>
          <w:szCs w:val="36"/>
          <w:lang w:eastAsia="en-AU"/>
        </w:rPr>
        <w:t>D</w:t>
      </w:r>
      <w:r w:rsidRPr="0095643D">
        <w:rPr>
          <w:sz w:val="36"/>
          <w:szCs w:val="36"/>
          <w:lang w:eastAsia="en-AU"/>
        </w:rPr>
        <w:t xml:space="preserve">: Commonwealth legislative frameworks protecting disclosers </w:t>
      </w:r>
    </w:p>
    <w:p w14:paraId="30D7DF45" w14:textId="77777777" w:rsidR="00030303" w:rsidRPr="00566FC9" w:rsidRDefault="00030303" w:rsidP="00030303">
      <w:pPr>
        <w:spacing w:before="240"/>
      </w:pPr>
      <w:r>
        <w:t>The below table (referenced in section 4.1 of the report) summarises the protections afforded under a number of Commonwealth Acts that may have relevance to a Royal Commission.</w:t>
      </w:r>
    </w:p>
    <w:tbl>
      <w:tblPr>
        <w:tblStyle w:val="TableGrid3"/>
        <w:tblW w:w="0" w:type="auto"/>
        <w:tblBorders>
          <w:insideV w:val="none" w:sz="0" w:space="0" w:color="auto"/>
        </w:tblBorders>
        <w:tblLook w:val="04A0" w:firstRow="1" w:lastRow="0" w:firstColumn="1" w:lastColumn="0" w:noHBand="0" w:noVBand="1"/>
      </w:tblPr>
      <w:tblGrid>
        <w:gridCol w:w="1520"/>
        <w:gridCol w:w="2236"/>
        <w:gridCol w:w="1764"/>
        <w:gridCol w:w="1947"/>
        <w:gridCol w:w="2376"/>
        <w:gridCol w:w="2035"/>
        <w:gridCol w:w="2072"/>
      </w:tblGrid>
      <w:tr w:rsidR="00030303" w:rsidRPr="00DB2B77" w14:paraId="259F69E2" w14:textId="77777777" w:rsidTr="00030303">
        <w:trPr>
          <w:tblHeader/>
        </w:trPr>
        <w:tc>
          <w:tcPr>
            <w:tcW w:w="0" w:type="auto"/>
            <w:shd w:val="clear" w:color="auto" w:fill="D9D9D9"/>
            <w:vAlign w:val="top"/>
            <w:hideMark/>
          </w:tcPr>
          <w:p w14:paraId="649D32DB" w14:textId="77777777" w:rsidR="00030303" w:rsidRPr="00DB2B77" w:rsidRDefault="00030303" w:rsidP="00030303">
            <w:pPr>
              <w:spacing w:after="0" w:line="240" w:lineRule="auto"/>
              <w:rPr>
                <w:rFonts w:eastAsia="Times New Roman"/>
                <w:b/>
                <w:w w:val="100"/>
                <w:kern w:val="0"/>
                <w:sz w:val="19"/>
                <w:szCs w:val="19"/>
              </w:rPr>
            </w:pPr>
            <w:r w:rsidRPr="00DB2B77">
              <w:rPr>
                <w:rFonts w:eastAsia="Times New Roman"/>
                <w:b/>
                <w:w w:val="100"/>
                <w:kern w:val="0"/>
                <w:sz w:val="19"/>
                <w:szCs w:val="19"/>
              </w:rPr>
              <w:t>Topic</w:t>
            </w:r>
          </w:p>
        </w:tc>
        <w:tc>
          <w:tcPr>
            <w:tcW w:w="0" w:type="auto"/>
            <w:shd w:val="clear" w:color="auto" w:fill="D9D9D9"/>
            <w:vAlign w:val="top"/>
          </w:tcPr>
          <w:p w14:paraId="7DB4DEC3" w14:textId="77777777" w:rsidR="00030303" w:rsidRPr="00DB2B77" w:rsidRDefault="00030303" w:rsidP="00030303">
            <w:pPr>
              <w:spacing w:after="0" w:line="240" w:lineRule="auto"/>
              <w:rPr>
                <w:rFonts w:eastAsia="Times New Roman"/>
                <w:b/>
                <w:w w:val="100"/>
                <w:kern w:val="0"/>
                <w:sz w:val="19"/>
                <w:szCs w:val="19"/>
              </w:rPr>
            </w:pPr>
            <w:r w:rsidRPr="00DB2B77">
              <w:rPr>
                <w:rFonts w:eastAsia="Times New Roman"/>
                <w:b/>
                <w:i/>
                <w:w w:val="100"/>
                <w:kern w:val="0"/>
                <w:sz w:val="19"/>
                <w:szCs w:val="19"/>
              </w:rPr>
              <w:t>Public Interest Disclosure Act 2013</w:t>
            </w:r>
            <w:r w:rsidRPr="00DB2B77">
              <w:rPr>
                <w:rFonts w:eastAsia="Times New Roman"/>
                <w:b/>
                <w:w w:val="100"/>
                <w:kern w:val="0"/>
                <w:sz w:val="19"/>
                <w:szCs w:val="19"/>
              </w:rPr>
              <w:t xml:space="preserve"> (</w:t>
            </w:r>
            <w:proofErr w:type="spellStart"/>
            <w:r w:rsidRPr="00DB2B77">
              <w:rPr>
                <w:rFonts w:eastAsia="Times New Roman"/>
                <w:b/>
                <w:w w:val="100"/>
                <w:kern w:val="0"/>
                <w:sz w:val="19"/>
                <w:szCs w:val="19"/>
              </w:rPr>
              <w:t>Cth</w:t>
            </w:r>
            <w:proofErr w:type="spellEnd"/>
            <w:r w:rsidRPr="00DB2B77">
              <w:rPr>
                <w:rFonts w:eastAsia="Times New Roman"/>
                <w:b/>
                <w:w w:val="100"/>
                <w:kern w:val="0"/>
                <w:sz w:val="19"/>
                <w:szCs w:val="19"/>
              </w:rPr>
              <w:t>)</w:t>
            </w:r>
          </w:p>
        </w:tc>
        <w:tc>
          <w:tcPr>
            <w:tcW w:w="0" w:type="auto"/>
            <w:shd w:val="clear" w:color="auto" w:fill="D9D9D9"/>
            <w:vAlign w:val="top"/>
            <w:hideMark/>
          </w:tcPr>
          <w:p w14:paraId="1ED2CB90" w14:textId="77777777" w:rsidR="00030303" w:rsidRPr="00DB2B77" w:rsidRDefault="00030303" w:rsidP="00030303">
            <w:pPr>
              <w:spacing w:after="0" w:line="240" w:lineRule="auto"/>
              <w:rPr>
                <w:rFonts w:eastAsia="Times New Roman"/>
                <w:b/>
                <w:w w:val="100"/>
                <w:kern w:val="0"/>
                <w:sz w:val="19"/>
                <w:szCs w:val="19"/>
              </w:rPr>
            </w:pPr>
            <w:r w:rsidRPr="00DB2B77">
              <w:rPr>
                <w:rFonts w:eastAsia="Times New Roman"/>
                <w:b/>
                <w:i/>
                <w:w w:val="100"/>
                <w:kern w:val="0"/>
                <w:sz w:val="19"/>
                <w:szCs w:val="19"/>
              </w:rPr>
              <w:t>National Disability Insurance Scheme Act 2013</w:t>
            </w:r>
            <w:r w:rsidRPr="00DB2B77">
              <w:rPr>
                <w:rFonts w:eastAsia="Times New Roman"/>
                <w:b/>
                <w:w w:val="100"/>
                <w:kern w:val="0"/>
                <w:sz w:val="19"/>
                <w:szCs w:val="19"/>
              </w:rPr>
              <w:t xml:space="preserve"> (</w:t>
            </w:r>
            <w:proofErr w:type="spellStart"/>
            <w:r w:rsidRPr="00DB2B77">
              <w:rPr>
                <w:rFonts w:eastAsia="Times New Roman"/>
                <w:b/>
                <w:w w:val="100"/>
                <w:kern w:val="0"/>
                <w:sz w:val="19"/>
                <w:szCs w:val="19"/>
              </w:rPr>
              <w:t>Cth</w:t>
            </w:r>
            <w:proofErr w:type="spellEnd"/>
            <w:r w:rsidRPr="00DB2B77">
              <w:rPr>
                <w:rFonts w:eastAsia="Times New Roman"/>
                <w:b/>
                <w:w w:val="100"/>
                <w:kern w:val="0"/>
                <w:sz w:val="19"/>
                <w:szCs w:val="19"/>
              </w:rPr>
              <w:t>)</w:t>
            </w:r>
          </w:p>
        </w:tc>
        <w:tc>
          <w:tcPr>
            <w:tcW w:w="0" w:type="auto"/>
            <w:shd w:val="clear" w:color="auto" w:fill="D9D9D9"/>
            <w:vAlign w:val="top"/>
          </w:tcPr>
          <w:p w14:paraId="17D81C5F" w14:textId="77777777" w:rsidR="00030303" w:rsidRPr="00DB2B77" w:rsidRDefault="00030303" w:rsidP="00030303">
            <w:pPr>
              <w:spacing w:after="0" w:line="240" w:lineRule="auto"/>
              <w:rPr>
                <w:rFonts w:eastAsia="Times New Roman"/>
                <w:b/>
                <w:w w:val="100"/>
                <w:kern w:val="0"/>
                <w:sz w:val="19"/>
                <w:szCs w:val="19"/>
              </w:rPr>
            </w:pPr>
            <w:r w:rsidRPr="00DB2B77">
              <w:rPr>
                <w:rFonts w:eastAsia="Times New Roman"/>
                <w:b/>
                <w:i/>
                <w:w w:val="100"/>
                <w:kern w:val="0"/>
                <w:sz w:val="19"/>
                <w:szCs w:val="19"/>
              </w:rPr>
              <w:t xml:space="preserve">Aged Care Act 1997 </w:t>
            </w:r>
            <w:r w:rsidRPr="00DB2B77">
              <w:rPr>
                <w:rFonts w:eastAsia="Times New Roman"/>
                <w:b/>
                <w:w w:val="100"/>
                <w:kern w:val="0"/>
                <w:sz w:val="19"/>
                <w:szCs w:val="19"/>
              </w:rPr>
              <w:t>(</w:t>
            </w:r>
            <w:proofErr w:type="spellStart"/>
            <w:r w:rsidRPr="00DB2B77">
              <w:rPr>
                <w:rFonts w:eastAsia="Times New Roman"/>
                <w:b/>
                <w:w w:val="100"/>
                <w:kern w:val="0"/>
                <w:sz w:val="19"/>
                <w:szCs w:val="19"/>
              </w:rPr>
              <w:t>Cth</w:t>
            </w:r>
            <w:proofErr w:type="spellEnd"/>
            <w:r w:rsidRPr="00DB2B77">
              <w:rPr>
                <w:rFonts w:eastAsia="Times New Roman"/>
                <w:b/>
                <w:w w:val="100"/>
                <w:kern w:val="0"/>
                <w:sz w:val="19"/>
                <w:szCs w:val="19"/>
              </w:rPr>
              <w:t>)</w:t>
            </w:r>
          </w:p>
        </w:tc>
        <w:tc>
          <w:tcPr>
            <w:tcW w:w="0" w:type="auto"/>
            <w:shd w:val="clear" w:color="auto" w:fill="D9D9D9"/>
            <w:vAlign w:val="top"/>
          </w:tcPr>
          <w:p w14:paraId="58C51FCF" w14:textId="77777777" w:rsidR="00030303" w:rsidRPr="00DB2B77" w:rsidRDefault="00030303" w:rsidP="00030303">
            <w:pPr>
              <w:spacing w:after="0" w:line="240" w:lineRule="auto"/>
              <w:rPr>
                <w:rFonts w:eastAsia="Times New Roman"/>
                <w:b/>
                <w:w w:val="100"/>
                <w:kern w:val="0"/>
                <w:sz w:val="19"/>
                <w:szCs w:val="19"/>
              </w:rPr>
            </w:pPr>
            <w:r w:rsidRPr="00DB2B77">
              <w:rPr>
                <w:rFonts w:eastAsia="Times New Roman"/>
                <w:b/>
                <w:i/>
                <w:w w:val="100"/>
                <w:kern w:val="0"/>
                <w:sz w:val="19"/>
                <w:szCs w:val="19"/>
              </w:rPr>
              <w:t>Corporations Act 2001</w:t>
            </w:r>
            <w:r w:rsidRPr="00DB2B77">
              <w:rPr>
                <w:rFonts w:eastAsia="Times New Roman"/>
                <w:b/>
                <w:w w:val="100"/>
                <w:kern w:val="0"/>
                <w:sz w:val="19"/>
                <w:szCs w:val="19"/>
              </w:rPr>
              <w:t xml:space="preserve"> (</w:t>
            </w:r>
            <w:proofErr w:type="spellStart"/>
            <w:r w:rsidRPr="00DB2B77">
              <w:rPr>
                <w:rFonts w:eastAsia="Times New Roman"/>
                <w:b/>
                <w:w w:val="100"/>
                <w:kern w:val="0"/>
                <w:sz w:val="19"/>
                <w:szCs w:val="19"/>
              </w:rPr>
              <w:t>Cth</w:t>
            </w:r>
            <w:proofErr w:type="spellEnd"/>
            <w:r w:rsidRPr="00DB2B77">
              <w:rPr>
                <w:rFonts w:eastAsia="Times New Roman"/>
                <w:b/>
                <w:w w:val="100"/>
                <w:kern w:val="0"/>
                <w:sz w:val="19"/>
                <w:szCs w:val="19"/>
              </w:rPr>
              <w:t>)</w:t>
            </w:r>
          </w:p>
        </w:tc>
        <w:tc>
          <w:tcPr>
            <w:tcW w:w="0" w:type="auto"/>
            <w:shd w:val="clear" w:color="auto" w:fill="D9D9D9"/>
            <w:vAlign w:val="top"/>
          </w:tcPr>
          <w:p w14:paraId="1D6223FD" w14:textId="77777777" w:rsidR="00030303" w:rsidRPr="00DB2B77" w:rsidRDefault="00030303" w:rsidP="00030303">
            <w:pPr>
              <w:spacing w:after="0" w:line="240" w:lineRule="auto"/>
              <w:rPr>
                <w:rFonts w:eastAsia="Times New Roman"/>
                <w:b/>
                <w:w w:val="100"/>
                <w:kern w:val="0"/>
                <w:sz w:val="19"/>
                <w:szCs w:val="19"/>
              </w:rPr>
            </w:pPr>
            <w:r w:rsidRPr="00DB2B77">
              <w:rPr>
                <w:rFonts w:eastAsia="Times New Roman"/>
                <w:b/>
                <w:i/>
                <w:w w:val="100"/>
                <w:kern w:val="0"/>
                <w:sz w:val="19"/>
                <w:szCs w:val="19"/>
              </w:rPr>
              <w:t>Fair Work (Registered Organisations) Act 2009</w:t>
            </w:r>
            <w:r w:rsidRPr="00DB2B77">
              <w:rPr>
                <w:rFonts w:eastAsia="Times New Roman"/>
                <w:b/>
                <w:w w:val="100"/>
                <w:kern w:val="0"/>
                <w:sz w:val="19"/>
                <w:szCs w:val="19"/>
              </w:rPr>
              <w:t xml:space="preserve"> (</w:t>
            </w:r>
            <w:proofErr w:type="spellStart"/>
            <w:r w:rsidRPr="00DB2B77">
              <w:rPr>
                <w:rFonts w:eastAsia="Times New Roman"/>
                <w:b/>
                <w:w w:val="100"/>
                <w:kern w:val="0"/>
                <w:sz w:val="19"/>
                <w:szCs w:val="19"/>
              </w:rPr>
              <w:t>Cth</w:t>
            </w:r>
            <w:proofErr w:type="spellEnd"/>
            <w:r w:rsidRPr="00DB2B77">
              <w:rPr>
                <w:rFonts w:eastAsia="Times New Roman"/>
                <w:b/>
                <w:w w:val="100"/>
                <w:kern w:val="0"/>
                <w:sz w:val="19"/>
                <w:szCs w:val="19"/>
              </w:rPr>
              <w:t>)</w:t>
            </w:r>
          </w:p>
        </w:tc>
        <w:tc>
          <w:tcPr>
            <w:tcW w:w="0" w:type="auto"/>
            <w:shd w:val="clear" w:color="auto" w:fill="D9D9D9"/>
            <w:vAlign w:val="top"/>
          </w:tcPr>
          <w:p w14:paraId="590B67F1" w14:textId="77777777" w:rsidR="00030303" w:rsidRPr="00DB2B77" w:rsidRDefault="00030303" w:rsidP="00030303">
            <w:pPr>
              <w:spacing w:after="0" w:line="240" w:lineRule="auto"/>
              <w:rPr>
                <w:rFonts w:eastAsia="Times New Roman"/>
                <w:b/>
                <w:w w:val="100"/>
                <w:kern w:val="0"/>
                <w:sz w:val="19"/>
                <w:szCs w:val="19"/>
              </w:rPr>
            </w:pPr>
            <w:r w:rsidRPr="00DB2B77">
              <w:rPr>
                <w:rFonts w:eastAsia="Times New Roman"/>
                <w:b/>
                <w:i/>
                <w:w w:val="100"/>
                <w:kern w:val="0"/>
                <w:sz w:val="19"/>
                <w:szCs w:val="19"/>
              </w:rPr>
              <w:t xml:space="preserve">Taxation Administration Act 1953 </w:t>
            </w:r>
            <w:r w:rsidRPr="00DB2B77">
              <w:rPr>
                <w:rFonts w:eastAsia="Times New Roman"/>
                <w:b/>
                <w:w w:val="100"/>
                <w:kern w:val="0"/>
                <w:sz w:val="19"/>
                <w:szCs w:val="19"/>
              </w:rPr>
              <w:t>(</w:t>
            </w:r>
            <w:proofErr w:type="spellStart"/>
            <w:r w:rsidRPr="00DB2B77">
              <w:rPr>
                <w:rFonts w:eastAsia="Times New Roman"/>
                <w:b/>
                <w:w w:val="100"/>
                <w:kern w:val="0"/>
                <w:sz w:val="19"/>
                <w:szCs w:val="19"/>
              </w:rPr>
              <w:t>Cth</w:t>
            </w:r>
            <w:proofErr w:type="spellEnd"/>
            <w:r w:rsidRPr="00DB2B77">
              <w:rPr>
                <w:rFonts w:eastAsia="Times New Roman"/>
                <w:b/>
                <w:w w:val="100"/>
                <w:kern w:val="0"/>
                <w:sz w:val="19"/>
                <w:szCs w:val="19"/>
              </w:rPr>
              <w:t>)</w:t>
            </w:r>
          </w:p>
        </w:tc>
      </w:tr>
      <w:tr w:rsidR="00030303" w:rsidRPr="00DB2B77" w14:paraId="38A630DC" w14:textId="77777777" w:rsidTr="00030303">
        <w:tc>
          <w:tcPr>
            <w:tcW w:w="0" w:type="auto"/>
            <w:vAlign w:val="top"/>
            <w:hideMark/>
          </w:tcPr>
          <w:p w14:paraId="6FADDB11" w14:textId="77777777" w:rsidR="00030303" w:rsidRPr="00DB2B77" w:rsidRDefault="00030303" w:rsidP="00030303">
            <w:pPr>
              <w:spacing w:after="0" w:line="240" w:lineRule="auto"/>
              <w:rPr>
                <w:rFonts w:eastAsia="Times New Roman"/>
                <w:b/>
                <w:w w:val="100"/>
                <w:kern w:val="0"/>
                <w:sz w:val="19"/>
                <w:szCs w:val="19"/>
              </w:rPr>
            </w:pPr>
            <w:r w:rsidRPr="00DB2B77">
              <w:rPr>
                <w:rFonts w:eastAsia="Times New Roman"/>
                <w:b/>
                <w:w w:val="100"/>
                <w:kern w:val="0"/>
                <w:sz w:val="19"/>
                <w:szCs w:val="19"/>
              </w:rPr>
              <w:t>Disclosures qualifying for protection</w:t>
            </w:r>
          </w:p>
        </w:tc>
        <w:tc>
          <w:tcPr>
            <w:tcW w:w="0" w:type="auto"/>
            <w:vAlign w:val="top"/>
          </w:tcPr>
          <w:p w14:paraId="7BB9FE74" w14:textId="77777777" w:rsidR="00030303" w:rsidRPr="00DB2B77" w:rsidRDefault="00030303" w:rsidP="00030303">
            <w:pPr>
              <w:spacing w:after="0" w:line="240" w:lineRule="auto"/>
              <w:rPr>
                <w:rFonts w:eastAsia="Times New Roman"/>
                <w:w w:val="100"/>
                <w:kern w:val="0"/>
                <w:sz w:val="19"/>
                <w:szCs w:val="19"/>
              </w:rPr>
            </w:pPr>
            <w:r w:rsidRPr="00DB2B77">
              <w:rPr>
                <w:rFonts w:eastAsia="Times New Roman"/>
                <w:w w:val="100"/>
                <w:kern w:val="0"/>
                <w:sz w:val="19"/>
                <w:szCs w:val="19"/>
              </w:rPr>
              <w:t>The disclosure of information qualifies for protection if (s 26):</w:t>
            </w:r>
          </w:p>
          <w:p w14:paraId="29639BE8"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It is by a person who has been, or is, a public official; and</w:t>
            </w:r>
          </w:p>
          <w:p w14:paraId="6D60DF2E"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The recipient of the disclosure is one of the entities listed s 26 being either:</w:t>
            </w:r>
          </w:p>
          <w:p w14:paraId="385EE7FD" w14:textId="77777777" w:rsidR="00030303" w:rsidRPr="00DB2B77" w:rsidRDefault="00030303" w:rsidP="00030303">
            <w:pPr>
              <w:numPr>
                <w:ilvl w:val="1"/>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 xml:space="preserve">In the case of internal disclosure, an internal recipient or supervisor of the discloser, </w:t>
            </w:r>
          </w:p>
          <w:p w14:paraId="2BF6AD8D" w14:textId="77777777" w:rsidR="00030303" w:rsidRPr="00DB2B77" w:rsidRDefault="00030303" w:rsidP="00030303">
            <w:pPr>
              <w:numPr>
                <w:ilvl w:val="1"/>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In the case of an external disclosure any person other than a foreign public official</w:t>
            </w:r>
          </w:p>
          <w:p w14:paraId="316CCF7E" w14:textId="77777777" w:rsidR="00030303" w:rsidRPr="00DB2B77" w:rsidRDefault="00030303" w:rsidP="00030303">
            <w:pPr>
              <w:numPr>
                <w:ilvl w:val="1"/>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In the case of an emergency disclosure any person other than a foreign public official</w:t>
            </w:r>
          </w:p>
          <w:p w14:paraId="3660E360" w14:textId="77777777" w:rsidR="00030303" w:rsidRPr="00DB2B77" w:rsidRDefault="00030303" w:rsidP="00030303">
            <w:pPr>
              <w:numPr>
                <w:ilvl w:val="1"/>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lastRenderedPageBreak/>
              <w:t>In the case of legal practitioner disclosure, a legal practitioner</w:t>
            </w:r>
          </w:p>
          <w:p w14:paraId="3DFFA21B"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The requirements set out in s 26 are met for the respective recipient.</w:t>
            </w:r>
          </w:p>
        </w:tc>
        <w:tc>
          <w:tcPr>
            <w:tcW w:w="0" w:type="auto"/>
            <w:vAlign w:val="top"/>
          </w:tcPr>
          <w:p w14:paraId="12FAC38C" w14:textId="77777777" w:rsidR="00030303" w:rsidRPr="00DB2B77" w:rsidRDefault="00030303" w:rsidP="00030303">
            <w:pPr>
              <w:spacing w:after="0" w:line="240" w:lineRule="auto"/>
              <w:rPr>
                <w:rFonts w:eastAsia="Times New Roman"/>
                <w:w w:val="100"/>
                <w:kern w:val="0"/>
                <w:sz w:val="19"/>
                <w:szCs w:val="19"/>
              </w:rPr>
            </w:pPr>
            <w:r w:rsidRPr="00DB2B77">
              <w:rPr>
                <w:rFonts w:eastAsia="Times New Roman"/>
                <w:w w:val="100"/>
                <w:kern w:val="0"/>
                <w:sz w:val="19"/>
                <w:szCs w:val="19"/>
              </w:rPr>
              <w:lastRenderedPageBreak/>
              <w:t>The disclosure of the information by the ‘discloser’ qualifies for protection under this Division if (s 73</w:t>
            </w:r>
            <w:proofErr w:type="gramStart"/>
            <w:r w:rsidRPr="00DB2B77">
              <w:rPr>
                <w:rFonts w:eastAsia="Times New Roman"/>
                <w:w w:val="100"/>
                <w:kern w:val="0"/>
                <w:sz w:val="19"/>
                <w:szCs w:val="19"/>
              </w:rPr>
              <w:t>ZA(</w:t>
            </w:r>
            <w:proofErr w:type="gramEnd"/>
            <w:r w:rsidRPr="00DB2B77">
              <w:rPr>
                <w:rFonts w:eastAsia="Times New Roman"/>
                <w:w w:val="100"/>
                <w:kern w:val="0"/>
                <w:sz w:val="19"/>
                <w:szCs w:val="19"/>
              </w:rPr>
              <w:t>2)):</w:t>
            </w:r>
          </w:p>
          <w:p w14:paraId="392C8E41"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the disclosure is made to one of the persons listed in s 73ZA(2)(a); and</w:t>
            </w:r>
          </w:p>
          <w:p w14:paraId="7D5A1685"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the discloser informs the person to whom the disclosure is made of the discloser’s name before making the disclosure; and</w:t>
            </w:r>
          </w:p>
          <w:p w14:paraId="041EF464"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 xml:space="preserve">the discloser has reasonable grounds to suspect that the information indicates that an NDIS provider has, or may have, </w:t>
            </w:r>
            <w:r w:rsidRPr="00DB2B77">
              <w:rPr>
                <w:rFonts w:eastAsia="Times New Roman"/>
                <w:w w:val="100"/>
                <w:kern w:val="0"/>
                <w:sz w:val="19"/>
                <w:szCs w:val="19"/>
              </w:rPr>
              <w:lastRenderedPageBreak/>
              <w:t>contravened a provision of this Act; and</w:t>
            </w:r>
          </w:p>
          <w:p w14:paraId="32924E69"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the discloser makes the disclosure in good faith.</w:t>
            </w:r>
          </w:p>
        </w:tc>
        <w:tc>
          <w:tcPr>
            <w:tcW w:w="0" w:type="auto"/>
            <w:vAlign w:val="top"/>
          </w:tcPr>
          <w:p w14:paraId="31D6E0D2" w14:textId="77777777" w:rsidR="00030303" w:rsidRPr="00DB2B77" w:rsidRDefault="00030303" w:rsidP="00030303">
            <w:pPr>
              <w:spacing w:after="0" w:line="240" w:lineRule="auto"/>
              <w:rPr>
                <w:rFonts w:eastAsia="Times New Roman"/>
                <w:w w:val="100"/>
                <w:kern w:val="0"/>
                <w:sz w:val="19"/>
                <w:szCs w:val="19"/>
              </w:rPr>
            </w:pPr>
            <w:r w:rsidRPr="00DB2B77">
              <w:rPr>
                <w:rFonts w:eastAsia="Times New Roman"/>
                <w:w w:val="100"/>
                <w:kern w:val="0"/>
                <w:sz w:val="19"/>
                <w:szCs w:val="19"/>
              </w:rPr>
              <w:lastRenderedPageBreak/>
              <w:t>The disclosure of the information by the ‘discloser’ qualifies for protection under this Division if (s 54-4(2)):</w:t>
            </w:r>
          </w:p>
          <w:p w14:paraId="1B7BA77E"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the disclosure is made to one of the persons listed in s 54-4(2)(a); and</w:t>
            </w:r>
          </w:p>
          <w:p w14:paraId="71D54006"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the discloser informs the person to whom the disclosure is made of the discloser’s name before making the disclosure; and</w:t>
            </w:r>
          </w:p>
          <w:p w14:paraId="1D060950"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the discloser has reasonable grounds to suspect that the information indicates that a reportable incident has occurred; and</w:t>
            </w:r>
          </w:p>
          <w:p w14:paraId="0BA00188" w14:textId="77777777" w:rsidR="00030303" w:rsidRPr="00DB2B77" w:rsidRDefault="00030303" w:rsidP="00030303">
            <w:pPr>
              <w:spacing w:after="0" w:line="240" w:lineRule="auto"/>
              <w:contextualSpacing/>
              <w:rPr>
                <w:rFonts w:eastAsia="Times New Roman"/>
                <w:w w:val="100"/>
                <w:kern w:val="0"/>
                <w:sz w:val="19"/>
                <w:szCs w:val="19"/>
              </w:rPr>
            </w:pPr>
            <w:r w:rsidRPr="00DB2B77">
              <w:rPr>
                <w:rFonts w:eastAsia="Times New Roman"/>
                <w:w w:val="100"/>
                <w:kern w:val="0"/>
                <w:sz w:val="19"/>
                <w:szCs w:val="19"/>
              </w:rPr>
              <w:t>the discloser makes the disclosure in good faith.</w:t>
            </w:r>
          </w:p>
        </w:tc>
        <w:tc>
          <w:tcPr>
            <w:tcW w:w="0" w:type="auto"/>
            <w:vAlign w:val="top"/>
          </w:tcPr>
          <w:p w14:paraId="14676C1E" w14:textId="77777777" w:rsidR="00030303" w:rsidRPr="00DB2B77" w:rsidRDefault="00030303" w:rsidP="00030303">
            <w:pPr>
              <w:spacing w:after="0" w:line="240" w:lineRule="auto"/>
              <w:rPr>
                <w:rFonts w:eastAsia="Times New Roman"/>
                <w:w w:val="100"/>
                <w:kern w:val="0"/>
                <w:sz w:val="19"/>
                <w:szCs w:val="19"/>
              </w:rPr>
            </w:pPr>
            <w:r w:rsidRPr="00DB2B77">
              <w:rPr>
                <w:rFonts w:eastAsia="Times New Roman"/>
                <w:w w:val="100"/>
                <w:kern w:val="0"/>
                <w:sz w:val="19"/>
                <w:szCs w:val="19"/>
              </w:rPr>
              <w:t>The disclosure of information qualifies for protection if (s 1317AA):</w:t>
            </w:r>
          </w:p>
          <w:p w14:paraId="5EAB66BB"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It is made to ASIC/APRA or a prescribed body in circumstances where:</w:t>
            </w:r>
          </w:p>
          <w:p w14:paraId="7090F7BC" w14:textId="77777777" w:rsidR="00030303" w:rsidRPr="00DB2B77" w:rsidRDefault="00030303" w:rsidP="00030303">
            <w:pPr>
              <w:numPr>
                <w:ilvl w:val="1"/>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 xml:space="preserve">It is by an ‘eligible </w:t>
            </w:r>
            <w:proofErr w:type="spellStart"/>
            <w:r w:rsidRPr="00DB2B77">
              <w:rPr>
                <w:rFonts w:eastAsia="Times New Roman"/>
                <w:w w:val="100"/>
                <w:kern w:val="0"/>
                <w:sz w:val="19"/>
                <w:szCs w:val="19"/>
              </w:rPr>
              <w:t>whistleblower</w:t>
            </w:r>
            <w:proofErr w:type="spellEnd"/>
            <w:r w:rsidRPr="00DB2B77">
              <w:rPr>
                <w:rFonts w:eastAsia="Times New Roman"/>
                <w:w w:val="100"/>
                <w:kern w:val="0"/>
                <w:sz w:val="19"/>
                <w:szCs w:val="19"/>
              </w:rPr>
              <w:t>’ (discussed further below); and</w:t>
            </w:r>
          </w:p>
          <w:p w14:paraId="047CE568" w14:textId="77777777" w:rsidR="00030303" w:rsidRPr="00DB2B77" w:rsidRDefault="00030303" w:rsidP="00030303">
            <w:pPr>
              <w:numPr>
                <w:ilvl w:val="1"/>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It is in relation to a regulated entity as prescribed by s 1317AAB (being, for example a company or constitutional corporation); and</w:t>
            </w:r>
          </w:p>
          <w:p w14:paraId="46796EDE" w14:textId="77777777" w:rsidR="00030303" w:rsidRPr="00DB2B77" w:rsidRDefault="00030303" w:rsidP="00030303">
            <w:pPr>
              <w:numPr>
                <w:ilvl w:val="1"/>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The discloser has reasonable grounds to suspect that the information concerns misconduct, or an improper state of affairs or circumstances in relation to the regulated entity; or</w:t>
            </w:r>
          </w:p>
          <w:p w14:paraId="3B9F1B4E" w14:textId="77777777" w:rsidR="00030303" w:rsidRPr="00DB2B77" w:rsidRDefault="00030303" w:rsidP="00030303">
            <w:pPr>
              <w:numPr>
                <w:ilvl w:val="1"/>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lastRenderedPageBreak/>
              <w:t>The discloser has reasonable grounds to suspect the if it indicates that any an officer/employee of the regulated entity has engaged in conduct that is an offence against or contravention of the acts set out at s 1317AA(5(c).</w:t>
            </w:r>
          </w:p>
          <w:p w14:paraId="61E76550"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it is made to an ‘eligible recipient’ in relation to the regulated entity (which are prescribed at s 1317AAC) in circumstances where:</w:t>
            </w:r>
          </w:p>
          <w:p w14:paraId="05269013" w14:textId="77777777" w:rsidR="00030303" w:rsidRPr="00DB2B77" w:rsidRDefault="00030303" w:rsidP="00030303">
            <w:pPr>
              <w:numPr>
                <w:ilvl w:val="1"/>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 xml:space="preserve">It is by an ‘eligible </w:t>
            </w:r>
            <w:proofErr w:type="spellStart"/>
            <w:r w:rsidRPr="00DB2B77">
              <w:rPr>
                <w:rFonts w:eastAsia="Times New Roman"/>
                <w:w w:val="100"/>
                <w:kern w:val="0"/>
                <w:sz w:val="19"/>
                <w:szCs w:val="19"/>
              </w:rPr>
              <w:t>whistleblower</w:t>
            </w:r>
            <w:proofErr w:type="spellEnd"/>
            <w:r w:rsidRPr="00DB2B77">
              <w:rPr>
                <w:rFonts w:eastAsia="Times New Roman"/>
                <w:w w:val="100"/>
                <w:kern w:val="0"/>
                <w:sz w:val="19"/>
                <w:szCs w:val="19"/>
              </w:rPr>
              <w:t>’ (discussed further below); and</w:t>
            </w:r>
          </w:p>
          <w:p w14:paraId="3371CC7F" w14:textId="77777777" w:rsidR="00030303" w:rsidRPr="00DB2B77" w:rsidRDefault="00030303" w:rsidP="00030303">
            <w:pPr>
              <w:numPr>
                <w:ilvl w:val="1"/>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The discloser has reasonable grounds to suspect that the information concerns misconduct, or an improper state of affairs or circumstances in relation to the regulated entity; or</w:t>
            </w:r>
          </w:p>
          <w:p w14:paraId="2FBEE254" w14:textId="77777777" w:rsidR="00030303" w:rsidRPr="00DB2B77" w:rsidRDefault="00030303" w:rsidP="00030303">
            <w:pPr>
              <w:numPr>
                <w:ilvl w:val="1"/>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 xml:space="preserve">The discloser has reasonable grounds </w:t>
            </w:r>
            <w:r w:rsidRPr="00DB2B77">
              <w:rPr>
                <w:rFonts w:eastAsia="Times New Roman"/>
                <w:w w:val="100"/>
                <w:kern w:val="0"/>
                <w:sz w:val="19"/>
                <w:szCs w:val="19"/>
              </w:rPr>
              <w:lastRenderedPageBreak/>
              <w:t>to suspect the if it indicates that any an officer/employee of the regulated entity has engaged in conduct that is an offence against or contravention of the acts set out at s 1317AA(5(c).</w:t>
            </w:r>
          </w:p>
          <w:p w14:paraId="48FD8137" w14:textId="77777777" w:rsidR="00030303" w:rsidRPr="00DB2B77" w:rsidRDefault="00030303" w:rsidP="00030303">
            <w:pPr>
              <w:spacing w:after="0" w:line="240" w:lineRule="auto"/>
              <w:ind w:left="1080"/>
              <w:contextualSpacing/>
              <w:rPr>
                <w:rFonts w:eastAsia="Times New Roman"/>
                <w:w w:val="100"/>
                <w:kern w:val="0"/>
                <w:sz w:val="19"/>
                <w:szCs w:val="19"/>
              </w:rPr>
            </w:pPr>
          </w:p>
          <w:p w14:paraId="4052E682" w14:textId="77777777" w:rsidR="00030303" w:rsidRPr="00DB2B77" w:rsidRDefault="00030303" w:rsidP="00030303">
            <w:pPr>
              <w:spacing w:after="0" w:line="240" w:lineRule="auto"/>
              <w:contextualSpacing/>
              <w:rPr>
                <w:rFonts w:eastAsia="Times New Roman"/>
                <w:w w:val="100"/>
                <w:kern w:val="0"/>
                <w:sz w:val="19"/>
                <w:szCs w:val="19"/>
              </w:rPr>
            </w:pPr>
            <w:r w:rsidRPr="00DB2B77">
              <w:rPr>
                <w:rFonts w:eastAsia="Times New Roman"/>
                <w:w w:val="100"/>
                <w:kern w:val="0"/>
                <w:sz w:val="19"/>
                <w:szCs w:val="19"/>
              </w:rPr>
              <w:t>Note: A disclosure may be made to the discloser’s lawyer and qualify for protection: s 1317</w:t>
            </w:r>
            <w:proofErr w:type="gramStart"/>
            <w:r w:rsidRPr="00DB2B77">
              <w:rPr>
                <w:rFonts w:eastAsia="Times New Roman"/>
                <w:w w:val="100"/>
                <w:kern w:val="0"/>
                <w:sz w:val="19"/>
                <w:szCs w:val="19"/>
              </w:rPr>
              <w:t>AA(</w:t>
            </w:r>
            <w:proofErr w:type="gramEnd"/>
            <w:r w:rsidRPr="00DB2B77">
              <w:rPr>
                <w:rFonts w:eastAsia="Times New Roman"/>
                <w:w w:val="100"/>
                <w:kern w:val="0"/>
                <w:sz w:val="19"/>
                <w:szCs w:val="19"/>
              </w:rPr>
              <w:t>4)</w:t>
            </w:r>
          </w:p>
          <w:p w14:paraId="4761E6A9" w14:textId="77777777" w:rsidR="00030303" w:rsidRPr="00DB2B77" w:rsidRDefault="00030303" w:rsidP="00030303">
            <w:pPr>
              <w:spacing w:after="0" w:line="240" w:lineRule="auto"/>
              <w:contextualSpacing/>
              <w:rPr>
                <w:rFonts w:eastAsia="Times New Roman"/>
                <w:w w:val="100"/>
                <w:kern w:val="0"/>
                <w:sz w:val="19"/>
                <w:szCs w:val="19"/>
              </w:rPr>
            </w:pPr>
          </w:p>
          <w:p w14:paraId="11DACEA5" w14:textId="77777777" w:rsidR="00030303" w:rsidRPr="00DB2B77" w:rsidRDefault="00030303" w:rsidP="00030303">
            <w:pPr>
              <w:spacing w:after="0" w:line="240" w:lineRule="auto"/>
              <w:contextualSpacing/>
              <w:rPr>
                <w:rFonts w:eastAsia="Times New Roman"/>
                <w:w w:val="100"/>
                <w:kern w:val="0"/>
                <w:sz w:val="19"/>
                <w:szCs w:val="19"/>
              </w:rPr>
            </w:pPr>
            <w:r w:rsidRPr="00DB2B77">
              <w:rPr>
                <w:rFonts w:eastAsia="Times New Roman"/>
                <w:w w:val="100"/>
                <w:kern w:val="0"/>
                <w:sz w:val="19"/>
                <w:szCs w:val="19"/>
              </w:rPr>
              <w:t>Note: Disclosures which concern personal work</w:t>
            </w:r>
            <w:r w:rsidRPr="00DB2B77">
              <w:rPr>
                <w:rFonts w:eastAsia="Times New Roman"/>
                <w:w w:val="100"/>
                <w:kern w:val="0"/>
                <w:sz w:val="19"/>
                <w:szCs w:val="19"/>
              </w:rPr>
              <w:noBreakHyphen/>
              <w:t>related grievances which do not concern victimisation are not protected: s 1317AADA.</w:t>
            </w:r>
          </w:p>
          <w:p w14:paraId="12363CFA" w14:textId="77777777" w:rsidR="00030303" w:rsidRPr="00DB2B77" w:rsidRDefault="00030303" w:rsidP="00030303">
            <w:pPr>
              <w:spacing w:after="0" w:line="240" w:lineRule="auto"/>
              <w:contextualSpacing/>
              <w:rPr>
                <w:rFonts w:eastAsia="Times New Roman"/>
                <w:w w:val="100"/>
                <w:kern w:val="0"/>
                <w:sz w:val="19"/>
                <w:szCs w:val="19"/>
              </w:rPr>
            </w:pPr>
          </w:p>
          <w:p w14:paraId="45CDFCAA" w14:textId="77777777" w:rsidR="00030303" w:rsidRPr="00DB2B77" w:rsidRDefault="00030303" w:rsidP="00030303">
            <w:pPr>
              <w:spacing w:after="0" w:line="240" w:lineRule="auto"/>
              <w:contextualSpacing/>
              <w:rPr>
                <w:rFonts w:eastAsia="Times New Roman"/>
                <w:w w:val="100"/>
                <w:kern w:val="0"/>
                <w:sz w:val="19"/>
                <w:szCs w:val="19"/>
              </w:rPr>
            </w:pPr>
            <w:r w:rsidRPr="00DB2B77">
              <w:rPr>
                <w:rFonts w:eastAsia="Times New Roman"/>
                <w:w w:val="100"/>
                <w:kern w:val="0"/>
                <w:sz w:val="19"/>
                <w:szCs w:val="19"/>
              </w:rPr>
              <w:t>Note: There are further provisions which provide eligible protections for public interest disclosure, and emergency disclosure to members of Parliament and journalists: s 1317AAD.</w:t>
            </w:r>
          </w:p>
        </w:tc>
        <w:tc>
          <w:tcPr>
            <w:tcW w:w="0" w:type="auto"/>
            <w:vAlign w:val="top"/>
          </w:tcPr>
          <w:p w14:paraId="0A62E84B" w14:textId="77777777" w:rsidR="00030303" w:rsidRPr="00DB2B77" w:rsidRDefault="00030303" w:rsidP="00030303">
            <w:pPr>
              <w:spacing w:after="0" w:line="240" w:lineRule="auto"/>
              <w:rPr>
                <w:rFonts w:eastAsia="Times New Roman"/>
                <w:w w:val="100"/>
                <w:kern w:val="0"/>
                <w:sz w:val="19"/>
                <w:szCs w:val="19"/>
              </w:rPr>
            </w:pPr>
            <w:r w:rsidRPr="00DB2B77">
              <w:rPr>
                <w:rFonts w:eastAsia="Times New Roman"/>
                <w:w w:val="100"/>
                <w:kern w:val="0"/>
                <w:sz w:val="19"/>
                <w:szCs w:val="19"/>
              </w:rPr>
              <w:lastRenderedPageBreak/>
              <w:t>The disclosure of information qualifies for protection if it is by a ‘discloser’ listed in s 337A(1)(a) to one of the entities listed in s 337A(1)(b) and the discloser has reasonable grounds to suspect that the information indicates instances of disclosable conduct by:</w:t>
            </w:r>
          </w:p>
          <w:p w14:paraId="0F763341"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the organisation or a branch of the organisation; or</w:t>
            </w:r>
          </w:p>
          <w:p w14:paraId="44990C52"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an officer or employee of the organisation or of a branch of the organisation.</w:t>
            </w:r>
          </w:p>
          <w:p w14:paraId="3E7A791C" w14:textId="77777777" w:rsidR="00030303" w:rsidRPr="00DB2B77" w:rsidRDefault="00030303" w:rsidP="00030303">
            <w:pPr>
              <w:spacing w:after="0" w:line="240" w:lineRule="auto"/>
              <w:rPr>
                <w:rFonts w:eastAsia="Times New Roman"/>
                <w:w w:val="100"/>
                <w:kern w:val="0"/>
                <w:sz w:val="19"/>
                <w:szCs w:val="19"/>
              </w:rPr>
            </w:pPr>
          </w:p>
          <w:p w14:paraId="7B850068" w14:textId="77777777" w:rsidR="00030303" w:rsidRPr="00DB2B77" w:rsidRDefault="00030303" w:rsidP="00030303">
            <w:pPr>
              <w:spacing w:after="0" w:line="240" w:lineRule="auto"/>
              <w:contextualSpacing/>
              <w:rPr>
                <w:rFonts w:eastAsia="Times New Roman"/>
                <w:w w:val="100"/>
                <w:kern w:val="0"/>
                <w:sz w:val="19"/>
                <w:szCs w:val="19"/>
              </w:rPr>
            </w:pPr>
            <w:r w:rsidRPr="00DB2B77">
              <w:rPr>
                <w:rFonts w:eastAsia="Times New Roman"/>
                <w:w w:val="100"/>
                <w:kern w:val="0"/>
                <w:sz w:val="19"/>
                <w:szCs w:val="19"/>
              </w:rPr>
              <w:t>Note: A disclosure may be made to the discloser’s lawyer and qualify for protection: s 337</w:t>
            </w:r>
            <w:proofErr w:type="gramStart"/>
            <w:r w:rsidRPr="00DB2B77">
              <w:rPr>
                <w:rFonts w:eastAsia="Times New Roman"/>
                <w:w w:val="100"/>
                <w:kern w:val="0"/>
                <w:sz w:val="19"/>
                <w:szCs w:val="19"/>
              </w:rPr>
              <w:t>A(</w:t>
            </w:r>
            <w:proofErr w:type="gramEnd"/>
            <w:r w:rsidRPr="00DB2B77">
              <w:rPr>
                <w:rFonts w:eastAsia="Times New Roman"/>
                <w:w w:val="100"/>
                <w:kern w:val="0"/>
                <w:sz w:val="19"/>
                <w:szCs w:val="19"/>
              </w:rPr>
              <w:t>3).</w:t>
            </w:r>
          </w:p>
        </w:tc>
        <w:tc>
          <w:tcPr>
            <w:tcW w:w="0" w:type="auto"/>
            <w:vAlign w:val="top"/>
          </w:tcPr>
          <w:p w14:paraId="386DA2CC" w14:textId="77777777" w:rsidR="00030303" w:rsidRPr="00DB2B77" w:rsidRDefault="00030303" w:rsidP="00030303">
            <w:pPr>
              <w:spacing w:after="0" w:line="240" w:lineRule="auto"/>
              <w:rPr>
                <w:rFonts w:eastAsia="Times New Roman"/>
                <w:b/>
                <w:w w:val="100"/>
                <w:kern w:val="0"/>
                <w:sz w:val="19"/>
                <w:szCs w:val="19"/>
              </w:rPr>
            </w:pPr>
            <w:r w:rsidRPr="00DB2B77">
              <w:rPr>
                <w:rFonts w:eastAsia="Times New Roman"/>
                <w:w w:val="100"/>
                <w:kern w:val="0"/>
                <w:sz w:val="19"/>
                <w:szCs w:val="19"/>
              </w:rPr>
              <w:t>There are two categories or qualifying disclosures under the TAA</w:t>
            </w:r>
            <w:r w:rsidRPr="00DB2B77">
              <w:rPr>
                <w:rFonts w:eastAsia="Times New Roman"/>
                <w:b/>
                <w:w w:val="100"/>
                <w:kern w:val="0"/>
                <w:sz w:val="19"/>
                <w:szCs w:val="19"/>
              </w:rPr>
              <w:t xml:space="preserve"> (</w:t>
            </w:r>
            <w:r w:rsidRPr="00DB2B77">
              <w:rPr>
                <w:rFonts w:eastAsia="Times New Roman"/>
                <w:w w:val="100"/>
                <w:kern w:val="0"/>
                <w:sz w:val="19"/>
                <w:szCs w:val="19"/>
              </w:rPr>
              <w:t xml:space="preserve">s 14ZZT). </w:t>
            </w:r>
          </w:p>
          <w:p w14:paraId="610B4041" w14:textId="77777777" w:rsidR="00030303" w:rsidRPr="00DB2B77" w:rsidRDefault="00030303" w:rsidP="00030303">
            <w:pPr>
              <w:spacing w:after="0" w:line="240" w:lineRule="auto"/>
              <w:rPr>
                <w:rFonts w:eastAsia="Times New Roman"/>
                <w:w w:val="100"/>
                <w:kern w:val="0"/>
                <w:sz w:val="19"/>
                <w:szCs w:val="19"/>
              </w:rPr>
            </w:pPr>
          </w:p>
          <w:p w14:paraId="07ACD6C8" w14:textId="77777777" w:rsidR="00030303" w:rsidRPr="00DB2B77" w:rsidRDefault="00030303" w:rsidP="00030303">
            <w:pPr>
              <w:spacing w:after="0" w:line="240" w:lineRule="auto"/>
              <w:rPr>
                <w:rFonts w:eastAsia="Times New Roman"/>
                <w:w w:val="100"/>
                <w:kern w:val="0"/>
                <w:sz w:val="19"/>
                <w:szCs w:val="19"/>
              </w:rPr>
            </w:pPr>
            <w:r w:rsidRPr="00DB2B77">
              <w:rPr>
                <w:rFonts w:eastAsia="Times New Roman"/>
                <w:w w:val="100"/>
                <w:kern w:val="0"/>
                <w:sz w:val="19"/>
                <w:szCs w:val="19"/>
              </w:rPr>
              <w:t>The disclosure of information by a ‘discloser’ qualifies for protection if:</w:t>
            </w:r>
          </w:p>
          <w:p w14:paraId="0CB86FFB"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 xml:space="preserve">the discloser is an ‘eligible </w:t>
            </w:r>
            <w:proofErr w:type="spellStart"/>
            <w:r w:rsidRPr="00DB2B77">
              <w:rPr>
                <w:rFonts w:eastAsia="Times New Roman"/>
                <w:w w:val="100"/>
                <w:kern w:val="0"/>
                <w:sz w:val="19"/>
                <w:szCs w:val="19"/>
              </w:rPr>
              <w:t>whistleblower</w:t>
            </w:r>
            <w:proofErr w:type="spellEnd"/>
            <w:r w:rsidRPr="00DB2B77">
              <w:rPr>
                <w:rFonts w:eastAsia="Times New Roman"/>
                <w:w w:val="100"/>
                <w:kern w:val="0"/>
                <w:sz w:val="19"/>
                <w:szCs w:val="19"/>
              </w:rPr>
              <w:t>’ in relation to an entity; and</w:t>
            </w:r>
          </w:p>
          <w:p w14:paraId="1AACA1F0"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the disclosure is made to the Commissioner; and</w:t>
            </w:r>
          </w:p>
          <w:p w14:paraId="6BCD3F0A"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the discloser considers that the information may assist the Commissioner to perform his or her functions or duties under a taxation law in relation to the entity or an associate of the entity.</w:t>
            </w:r>
          </w:p>
          <w:p w14:paraId="3BF84E15" w14:textId="77777777" w:rsidR="00030303" w:rsidRPr="00DB2B77" w:rsidRDefault="00030303" w:rsidP="00030303">
            <w:pPr>
              <w:spacing w:after="0" w:line="240" w:lineRule="auto"/>
              <w:contextualSpacing/>
              <w:rPr>
                <w:rFonts w:eastAsia="Times New Roman"/>
                <w:w w:val="100"/>
                <w:kern w:val="0"/>
                <w:sz w:val="19"/>
                <w:szCs w:val="19"/>
              </w:rPr>
            </w:pPr>
          </w:p>
          <w:p w14:paraId="3FD84163" w14:textId="77777777" w:rsidR="00030303" w:rsidRPr="00DB2B77" w:rsidRDefault="00030303" w:rsidP="00030303">
            <w:pPr>
              <w:spacing w:after="0" w:line="240" w:lineRule="auto"/>
              <w:rPr>
                <w:rFonts w:eastAsia="Times New Roman"/>
                <w:w w:val="100"/>
                <w:kern w:val="0"/>
                <w:sz w:val="19"/>
                <w:szCs w:val="19"/>
              </w:rPr>
            </w:pPr>
            <w:r w:rsidRPr="00DB2B77">
              <w:rPr>
                <w:rFonts w:eastAsia="Times New Roman"/>
                <w:w w:val="100"/>
                <w:kern w:val="0"/>
                <w:sz w:val="19"/>
                <w:szCs w:val="19"/>
              </w:rPr>
              <w:lastRenderedPageBreak/>
              <w:t>The disclosure of information by a ‘discloser’ qualifies for protection if:</w:t>
            </w:r>
          </w:p>
          <w:p w14:paraId="665150EC"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 xml:space="preserve">the discloser is an ‘eligible </w:t>
            </w:r>
            <w:proofErr w:type="spellStart"/>
            <w:r w:rsidRPr="00DB2B77">
              <w:rPr>
                <w:rFonts w:eastAsia="Times New Roman"/>
                <w:w w:val="100"/>
                <w:kern w:val="0"/>
                <w:sz w:val="19"/>
                <w:szCs w:val="19"/>
              </w:rPr>
              <w:t>whistleblower</w:t>
            </w:r>
            <w:proofErr w:type="spellEnd"/>
            <w:r w:rsidRPr="00DB2B77">
              <w:rPr>
                <w:rFonts w:eastAsia="Times New Roman"/>
                <w:w w:val="100"/>
                <w:kern w:val="0"/>
                <w:sz w:val="19"/>
                <w:szCs w:val="19"/>
              </w:rPr>
              <w:t>’ in relation to an entity; and</w:t>
            </w:r>
          </w:p>
          <w:p w14:paraId="589A6565"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the disclosure is made to an eligible recipient in relation to the entity; and</w:t>
            </w:r>
          </w:p>
          <w:p w14:paraId="3630B09A"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the discloser has reasonable grounds to suspect that the information indicates misconduct, or an improper state of affairs or circumstances, in relation to the tax affairs of the entity or an associate of the entity; and</w:t>
            </w:r>
          </w:p>
          <w:p w14:paraId="04F3E6C8"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the discloser considers that the information may assist the eligible recipient to perform functions or duties in relation to the tax affairs of the entity or an associate of the entity.</w:t>
            </w:r>
          </w:p>
          <w:p w14:paraId="1BE92A2D" w14:textId="77777777" w:rsidR="00030303" w:rsidRPr="00DB2B77" w:rsidRDefault="00030303" w:rsidP="00030303">
            <w:pPr>
              <w:spacing w:after="0" w:line="240" w:lineRule="auto"/>
              <w:contextualSpacing/>
              <w:rPr>
                <w:rFonts w:eastAsia="Times New Roman"/>
                <w:w w:val="100"/>
                <w:kern w:val="0"/>
                <w:sz w:val="19"/>
                <w:szCs w:val="19"/>
              </w:rPr>
            </w:pPr>
          </w:p>
          <w:p w14:paraId="5B03B792" w14:textId="77777777" w:rsidR="00030303" w:rsidRPr="00DB2B77" w:rsidRDefault="00030303" w:rsidP="00030303">
            <w:pPr>
              <w:spacing w:after="0" w:line="240" w:lineRule="auto"/>
              <w:contextualSpacing/>
              <w:rPr>
                <w:rFonts w:eastAsia="Times New Roman"/>
                <w:w w:val="100"/>
                <w:kern w:val="0"/>
                <w:sz w:val="19"/>
                <w:szCs w:val="19"/>
              </w:rPr>
            </w:pPr>
            <w:r w:rsidRPr="00DB2B77">
              <w:rPr>
                <w:rFonts w:eastAsia="Times New Roman"/>
                <w:w w:val="100"/>
                <w:kern w:val="0"/>
                <w:sz w:val="19"/>
                <w:szCs w:val="19"/>
              </w:rPr>
              <w:t>Note: A disclosure may be made to the discloser’s lawyer and qualify for protection – s 14</w:t>
            </w:r>
            <w:proofErr w:type="gramStart"/>
            <w:r w:rsidRPr="00DB2B77">
              <w:rPr>
                <w:rFonts w:eastAsia="Times New Roman"/>
                <w:w w:val="100"/>
                <w:kern w:val="0"/>
                <w:sz w:val="19"/>
                <w:szCs w:val="19"/>
              </w:rPr>
              <w:t>ZZT(</w:t>
            </w:r>
            <w:proofErr w:type="gramEnd"/>
            <w:r w:rsidRPr="00DB2B77">
              <w:rPr>
                <w:rFonts w:eastAsia="Times New Roman"/>
                <w:w w:val="100"/>
                <w:kern w:val="0"/>
                <w:sz w:val="19"/>
                <w:szCs w:val="19"/>
              </w:rPr>
              <w:t>3).</w:t>
            </w:r>
          </w:p>
        </w:tc>
      </w:tr>
      <w:tr w:rsidR="00030303" w:rsidRPr="00DB2B77" w14:paraId="5DBB01B6" w14:textId="77777777" w:rsidTr="00030303">
        <w:tc>
          <w:tcPr>
            <w:tcW w:w="0" w:type="auto"/>
            <w:vAlign w:val="top"/>
            <w:hideMark/>
          </w:tcPr>
          <w:p w14:paraId="5AAD3313" w14:textId="77777777" w:rsidR="00030303" w:rsidRPr="00DB2B77" w:rsidRDefault="00030303" w:rsidP="00030303">
            <w:pPr>
              <w:spacing w:after="0" w:line="240" w:lineRule="auto"/>
              <w:rPr>
                <w:rFonts w:eastAsia="Times New Roman"/>
                <w:b/>
                <w:w w:val="100"/>
                <w:kern w:val="0"/>
                <w:sz w:val="19"/>
                <w:szCs w:val="19"/>
              </w:rPr>
            </w:pPr>
            <w:r w:rsidRPr="00DB2B77">
              <w:rPr>
                <w:rFonts w:eastAsia="Times New Roman"/>
                <w:b/>
                <w:w w:val="100"/>
                <w:kern w:val="0"/>
                <w:sz w:val="19"/>
                <w:szCs w:val="19"/>
              </w:rPr>
              <w:lastRenderedPageBreak/>
              <w:t xml:space="preserve">Eligible disclosers </w:t>
            </w:r>
          </w:p>
        </w:tc>
        <w:tc>
          <w:tcPr>
            <w:tcW w:w="0" w:type="auto"/>
            <w:vAlign w:val="top"/>
          </w:tcPr>
          <w:p w14:paraId="418D40DC" w14:textId="77777777" w:rsidR="00030303" w:rsidRPr="00DB2B77" w:rsidRDefault="00030303" w:rsidP="00030303">
            <w:pPr>
              <w:spacing w:after="0" w:line="240" w:lineRule="auto"/>
              <w:rPr>
                <w:rFonts w:eastAsia="Times New Roman"/>
                <w:w w:val="100"/>
                <w:kern w:val="0"/>
                <w:sz w:val="19"/>
                <w:szCs w:val="19"/>
              </w:rPr>
            </w:pPr>
            <w:r w:rsidRPr="00DB2B77">
              <w:rPr>
                <w:rFonts w:eastAsia="Times New Roman"/>
                <w:w w:val="100"/>
                <w:kern w:val="0"/>
                <w:sz w:val="19"/>
                <w:szCs w:val="19"/>
              </w:rPr>
              <w:t>A person who has been, or is, a public official (s 26) (the discloser)</w:t>
            </w:r>
          </w:p>
        </w:tc>
        <w:tc>
          <w:tcPr>
            <w:tcW w:w="0" w:type="auto"/>
            <w:vAlign w:val="top"/>
          </w:tcPr>
          <w:p w14:paraId="62FE1368" w14:textId="77777777" w:rsidR="00030303" w:rsidRPr="00DB2B77" w:rsidRDefault="00030303" w:rsidP="00030303">
            <w:pPr>
              <w:spacing w:after="0" w:line="240" w:lineRule="auto"/>
              <w:rPr>
                <w:rFonts w:eastAsia="Times New Roman"/>
                <w:b/>
                <w:w w:val="100"/>
                <w:kern w:val="0"/>
                <w:sz w:val="19"/>
                <w:szCs w:val="19"/>
              </w:rPr>
            </w:pPr>
            <w:r w:rsidRPr="00DB2B77">
              <w:rPr>
                <w:rFonts w:eastAsia="Times New Roman"/>
                <w:w w:val="100"/>
                <w:kern w:val="0"/>
                <w:sz w:val="19"/>
                <w:szCs w:val="19"/>
              </w:rPr>
              <w:t xml:space="preserve">The protection applies to a disclosure of information by a person (the </w:t>
            </w:r>
            <w:r w:rsidRPr="00DB2B77">
              <w:rPr>
                <w:rFonts w:eastAsia="Times New Roman"/>
                <w:w w:val="100"/>
                <w:kern w:val="0"/>
                <w:sz w:val="19"/>
                <w:szCs w:val="19"/>
              </w:rPr>
              <w:lastRenderedPageBreak/>
              <w:t>discloser) who is, in relation to an NDIS provider, any of the following (s 73</w:t>
            </w:r>
            <w:proofErr w:type="gramStart"/>
            <w:r w:rsidRPr="00DB2B77">
              <w:rPr>
                <w:rFonts w:eastAsia="Times New Roman"/>
                <w:w w:val="100"/>
                <w:kern w:val="0"/>
                <w:sz w:val="19"/>
                <w:szCs w:val="19"/>
              </w:rPr>
              <w:t>ZA(</w:t>
            </w:r>
            <w:proofErr w:type="gramEnd"/>
            <w:r w:rsidRPr="00DB2B77">
              <w:rPr>
                <w:rFonts w:eastAsia="Times New Roman"/>
                <w:w w:val="100"/>
                <w:kern w:val="0"/>
                <w:sz w:val="19"/>
                <w:szCs w:val="19"/>
              </w:rPr>
              <w:t>1)):</w:t>
            </w:r>
          </w:p>
          <w:p w14:paraId="483B74AB"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if the NDIS provider is a body corporate—an officer or employee of the body corporate, or a person who has a contract for the supply of goods or services to, or on behalf of, the body corporate;</w:t>
            </w:r>
          </w:p>
          <w:p w14:paraId="2BF78F93"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if the NDIS provider is an unincorporated association—a member of the committee of management or an employee of the association, or a person who has a contract for the supply of goods or services to, or on behalf of, the association;</w:t>
            </w:r>
          </w:p>
          <w:p w14:paraId="534BD0DE"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lastRenderedPageBreak/>
              <w:t>if the NDIS provider is a partnership—a partner in or an employee of the partnership, or a person who has a contract for the supply of goods or services to, or on behalf of, the partnership;</w:t>
            </w:r>
          </w:p>
          <w:p w14:paraId="1E98C604"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in any case—a person with disability who is receiving a support or service from the NDIS provider, or a nominee, family member, carer, independent advocate or significant other of that person.</w:t>
            </w:r>
          </w:p>
        </w:tc>
        <w:tc>
          <w:tcPr>
            <w:tcW w:w="0" w:type="auto"/>
            <w:vAlign w:val="top"/>
          </w:tcPr>
          <w:p w14:paraId="65F15A79" w14:textId="77777777" w:rsidR="00030303" w:rsidRPr="00DB2B77" w:rsidRDefault="00030303" w:rsidP="00030303">
            <w:pPr>
              <w:spacing w:after="0" w:line="240" w:lineRule="auto"/>
              <w:rPr>
                <w:rFonts w:eastAsia="Times New Roman"/>
                <w:b/>
                <w:w w:val="100"/>
                <w:kern w:val="0"/>
                <w:sz w:val="19"/>
                <w:szCs w:val="19"/>
              </w:rPr>
            </w:pPr>
            <w:r w:rsidRPr="00DB2B77">
              <w:rPr>
                <w:rFonts w:eastAsia="Times New Roman"/>
                <w:w w:val="100"/>
                <w:kern w:val="0"/>
                <w:sz w:val="19"/>
                <w:szCs w:val="19"/>
              </w:rPr>
              <w:lastRenderedPageBreak/>
              <w:t xml:space="preserve">The protection applies to a disclosure of information by a person (the discloser) who is, or was, any of </w:t>
            </w:r>
            <w:r w:rsidRPr="00DB2B77">
              <w:rPr>
                <w:rFonts w:eastAsia="Times New Roman"/>
                <w:w w:val="100"/>
                <w:kern w:val="0"/>
                <w:sz w:val="19"/>
                <w:szCs w:val="19"/>
              </w:rPr>
              <w:lastRenderedPageBreak/>
              <w:t>the following (s 54</w:t>
            </w:r>
            <w:r w:rsidRPr="00DB2B77">
              <w:rPr>
                <w:rFonts w:eastAsia="Times New Roman"/>
                <w:w w:val="100"/>
                <w:kern w:val="0"/>
                <w:sz w:val="19"/>
                <w:szCs w:val="19"/>
              </w:rPr>
              <w:noBreakHyphen/>
              <w:t>4(1)):</w:t>
            </w:r>
          </w:p>
          <w:p w14:paraId="7728B7AF"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an approved provider;</w:t>
            </w:r>
          </w:p>
          <w:p w14:paraId="701BABB5"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one of an approved provider’s key personnel;</w:t>
            </w:r>
          </w:p>
          <w:p w14:paraId="709737C3"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a staff member of an approved provider;</w:t>
            </w:r>
          </w:p>
          <w:p w14:paraId="74431B2A"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a residential care recipient of an approved provider, or a family member, carer, representative, advocate (including an independent advocate) of the recipient, or another person who is significant to the recipient;</w:t>
            </w:r>
          </w:p>
          <w:p w14:paraId="4D7606AE"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a volunteer who provides care or services for an approved provider.</w:t>
            </w:r>
          </w:p>
        </w:tc>
        <w:tc>
          <w:tcPr>
            <w:tcW w:w="0" w:type="auto"/>
            <w:vAlign w:val="top"/>
          </w:tcPr>
          <w:p w14:paraId="43EB14C2" w14:textId="77777777" w:rsidR="00030303" w:rsidRPr="00DB2B77" w:rsidRDefault="00030303" w:rsidP="00030303">
            <w:pPr>
              <w:spacing w:after="0" w:line="240" w:lineRule="auto"/>
              <w:contextualSpacing/>
              <w:rPr>
                <w:rFonts w:eastAsia="Times New Roman"/>
                <w:b/>
                <w:w w:val="100"/>
                <w:kern w:val="0"/>
                <w:sz w:val="19"/>
                <w:szCs w:val="19"/>
              </w:rPr>
            </w:pPr>
            <w:r w:rsidRPr="00DB2B77">
              <w:rPr>
                <w:rFonts w:eastAsia="Times New Roman"/>
                <w:w w:val="100"/>
                <w:kern w:val="0"/>
                <w:sz w:val="19"/>
                <w:szCs w:val="19"/>
              </w:rPr>
              <w:lastRenderedPageBreak/>
              <w:t xml:space="preserve"> ‘Eligible </w:t>
            </w:r>
            <w:proofErr w:type="spellStart"/>
            <w:r w:rsidRPr="00DB2B77">
              <w:rPr>
                <w:rFonts w:eastAsia="Times New Roman"/>
                <w:w w:val="100"/>
                <w:kern w:val="0"/>
                <w:sz w:val="19"/>
                <w:szCs w:val="19"/>
              </w:rPr>
              <w:t>whistleblowers’</w:t>
            </w:r>
            <w:proofErr w:type="spellEnd"/>
            <w:r w:rsidRPr="00DB2B77">
              <w:rPr>
                <w:rFonts w:eastAsia="Times New Roman"/>
                <w:w w:val="100"/>
                <w:kern w:val="0"/>
                <w:sz w:val="19"/>
                <w:szCs w:val="19"/>
              </w:rPr>
              <w:t xml:space="preserve"> are (s 1317AAA):</w:t>
            </w:r>
          </w:p>
          <w:p w14:paraId="2C881E42" w14:textId="77777777" w:rsidR="00030303" w:rsidRPr="00DB2B77" w:rsidRDefault="00030303" w:rsidP="00030303">
            <w:pPr>
              <w:numPr>
                <w:ilvl w:val="0"/>
                <w:numId w:val="13"/>
              </w:numPr>
              <w:spacing w:after="0" w:line="240" w:lineRule="auto"/>
              <w:contextualSpacing/>
              <w:rPr>
                <w:rFonts w:eastAsia="Times New Roman"/>
                <w:w w:val="100"/>
                <w:kern w:val="0"/>
                <w:sz w:val="19"/>
                <w:szCs w:val="19"/>
              </w:rPr>
            </w:pPr>
            <w:r w:rsidRPr="00DB2B77">
              <w:rPr>
                <w:rFonts w:eastAsia="Times New Roman"/>
                <w:w w:val="100"/>
                <w:kern w:val="0"/>
                <w:sz w:val="19"/>
                <w:szCs w:val="19"/>
              </w:rPr>
              <w:t>an officer of the regulated entity</w:t>
            </w:r>
          </w:p>
          <w:p w14:paraId="7CFDA443" w14:textId="77777777" w:rsidR="00030303" w:rsidRPr="00DB2B77" w:rsidRDefault="00030303" w:rsidP="00030303">
            <w:pPr>
              <w:numPr>
                <w:ilvl w:val="0"/>
                <w:numId w:val="13"/>
              </w:numPr>
              <w:spacing w:after="0" w:line="240" w:lineRule="auto"/>
              <w:contextualSpacing/>
              <w:rPr>
                <w:rFonts w:eastAsia="Times New Roman"/>
                <w:w w:val="100"/>
                <w:kern w:val="0"/>
                <w:sz w:val="19"/>
                <w:szCs w:val="19"/>
              </w:rPr>
            </w:pPr>
            <w:r w:rsidRPr="00DB2B77">
              <w:rPr>
                <w:rFonts w:eastAsia="Times New Roman"/>
                <w:w w:val="100"/>
                <w:kern w:val="0"/>
                <w:sz w:val="19"/>
                <w:szCs w:val="19"/>
              </w:rPr>
              <w:lastRenderedPageBreak/>
              <w:t>an employee of the regulated entity</w:t>
            </w:r>
          </w:p>
          <w:p w14:paraId="299399D3" w14:textId="77777777" w:rsidR="00030303" w:rsidRPr="00DB2B77" w:rsidRDefault="00030303" w:rsidP="00030303">
            <w:pPr>
              <w:numPr>
                <w:ilvl w:val="0"/>
                <w:numId w:val="13"/>
              </w:numPr>
              <w:spacing w:after="0" w:line="240" w:lineRule="auto"/>
              <w:contextualSpacing/>
              <w:rPr>
                <w:rFonts w:eastAsia="Times New Roman"/>
                <w:w w:val="100"/>
                <w:kern w:val="0"/>
                <w:sz w:val="19"/>
                <w:szCs w:val="19"/>
              </w:rPr>
            </w:pPr>
            <w:r w:rsidRPr="00DB2B77">
              <w:rPr>
                <w:rFonts w:eastAsia="Times New Roman"/>
                <w:w w:val="100"/>
                <w:kern w:val="0"/>
                <w:sz w:val="19"/>
                <w:szCs w:val="19"/>
              </w:rPr>
              <w:t>an individual who supplies goods/services to the regulated entity or an employee of the same</w:t>
            </w:r>
          </w:p>
          <w:p w14:paraId="1E80F451" w14:textId="77777777" w:rsidR="00030303" w:rsidRPr="00DB2B77" w:rsidRDefault="00030303" w:rsidP="00030303">
            <w:pPr>
              <w:numPr>
                <w:ilvl w:val="0"/>
                <w:numId w:val="13"/>
              </w:numPr>
              <w:spacing w:after="0" w:line="240" w:lineRule="auto"/>
              <w:contextualSpacing/>
              <w:rPr>
                <w:rFonts w:eastAsia="Times New Roman"/>
                <w:w w:val="100"/>
                <w:kern w:val="0"/>
                <w:sz w:val="19"/>
                <w:szCs w:val="19"/>
              </w:rPr>
            </w:pPr>
            <w:r w:rsidRPr="00DB2B77">
              <w:rPr>
                <w:rFonts w:eastAsia="Times New Roman"/>
                <w:w w:val="100"/>
                <w:kern w:val="0"/>
                <w:sz w:val="19"/>
                <w:szCs w:val="19"/>
              </w:rPr>
              <w:t>an individual who is an associate of the regulated entity</w:t>
            </w:r>
          </w:p>
          <w:p w14:paraId="542997E6" w14:textId="77777777" w:rsidR="00030303" w:rsidRPr="00DB2B77" w:rsidRDefault="00030303" w:rsidP="00030303">
            <w:pPr>
              <w:numPr>
                <w:ilvl w:val="0"/>
                <w:numId w:val="13"/>
              </w:numPr>
              <w:spacing w:after="0" w:line="240" w:lineRule="auto"/>
              <w:contextualSpacing/>
              <w:rPr>
                <w:rFonts w:eastAsia="Times New Roman"/>
                <w:w w:val="100"/>
                <w:kern w:val="0"/>
                <w:sz w:val="19"/>
                <w:szCs w:val="19"/>
              </w:rPr>
            </w:pPr>
            <w:r w:rsidRPr="00DB2B77">
              <w:rPr>
                <w:rFonts w:eastAsia="Times New Roman"/>
                <w:w w:val="100"/>
                <w:kern w:val="0"/>
                <w:sz w:val="19"/>
                <w:szCs w:val="19"/>
              </w:rPr>
              <w:t>a relative of an individual referred to above</w:t>
            </w:r>
          </w:p>
          <w:p w14:paraId="5AB52F8A" w14:textId="77777777" w:rsidR="00030303" w:rsidRPr="00DB2B77" w:rsidRDefault="00030303" w:rsidP="00030303">
            <w:pPr>
              <w:numPr>
                <w:ilvl w:val="0"/>
                <w:numId w:val="13"/>
              </w:numPr>
              <w:spacing w:after="0" w:line="240" w:lineRule="auto"/>
              <w:contextualSpacing/>
              <w:rPr>
                <w:rFonts w:eastAsia="Times New Roman"/>
                <w:w w:val="100"/>
                <w:kern w:val="0"/>
                <w:sz w:val="19"/>
                <w:szCs w:val="19"/>
              </w:rPr>
            </w:pPr>
            <w:r w:rsidRPr="00DB2B77">
              <w:rPr>
                <w:rFonts w:eastAsia="Times New Roman"/>
                <w:w w:val="100"/>
                <w:kern w:val="0"/>
                <w:sz w:val="19"/>
                <w:szCs w:val="19"/>
              </w:rPr>
              <w:t xml:space="preserve">a dependant of an individual referred to above (or a dependant of </w:t>
            </w:r>
            <w:proofErr w:type="gramStart"/>
            <w:r w:rsidRPr="00DB2B77">
              <w:rPr>
                <w:rFonts w:eastAsia="Times New Roman"/>
                <w:w w:val="100"/>
                <w:kern w:val="0"/>
                <w:sz w:val="19"/>
                <w:szCs w:val="19"/>
              </w:rPr>
              <w:t>the a</w:t>
            </w:r>
            <w:proofErr w:type="gramEnd"/>
            <w:r w:rsidRPr="00DB2B77">
              <w:rPr>
                <w:rFonts w:eastAsia="Times New Roman"/>
                <w:w w:val="100"/>
                <w:kern w:val="0"/>
                <w:sz w:val="19"/>
                <w:szCs w:val="19"/>
              </w:rPr>
              <w:t xml:space="preserve"> spouse of the individual)</w:t>
            </w:r>
          </w:p>
          <w:p w14:paraId="73EDAAEE" w14:textId="77777777" w:rsidR="00030303" w:rsidRPr="00DB2B77" w:rsidRDefault="00030303" w:rsidP="00030303">
            <w:pPr>
              <w:numPr>
                <w:ilvl w:val="0"/>
                <w:numId w:val="13"/>
              </w:numPr>
              <w:spacing w:after="0" w:line="240" w:lineRule="auto"/>
              <w:contextualSpacing/>
              <w:rPr>
                <w:rFonts w:eastAsia="Times New Roman"/>
                <w:w w:val="100"/>
                <w:kern w:val="0"/>
                <w:sz w:val="19"/>
                <w:szCs w:val="19"/>
              </w:rPr>
            </w:pPr>
            <w:r w:rsidRPr="00DB2B77">
              <w:rPr>
                <w:rFonts w:eastAsia="Times New Roman"/>
                <w:w w:val="100"/>
                <w:kern w:val="0"/>
                <w:sz w:val="19"/>
                <w:szCs w:val="19"/>
              </w:rPr>
              <w:t>any individual prescribed by the regulations for the purpose of this paragraph.</w:t>
            </w:r>
          </w:p>
          <w:p w14:paraId="7FC35894" w14:textId="77777777" w:rsidR="00030303" w:rsidRPr="00DB2B77" w:rsidRDefault="00030303" w:rsidP="00030303">
            <w:pPr>
              <w:spacing w:after="0" w:line="240" w:lineRule="auto"/>
              <w:contextualSpacing/>
              <w:rPr>
                <w:rFonts w:eastAsia="Times New Roman"/>
                <w:w w:val="100"/>
                <w:kern w:val="0"/>
                <w:sz w:val="19"/>
                <w:szCs w:val="19"/>
              </w:rPr>
            </w:pPr>
          </w:p>
          <w:p w14:paraId="042A2A2B" w14:textId="77777777" w:rsidR="00030303" w:rsidRPr="00DB2B77" w:rsidRDefault="00030303" w:rsidP="00030303">
            <w:pPr>
              <w:spacing w:after="0" w:line="240" w:lineRule="auto"/>
              <w:contextualSpacing/>
              <w:rPr>
                <w:rFonts w:eastAsia="Times New Roman"/>
                <w:w w:val="100"/>
                <w:kern w:val="0"/>
                <w:sz w:val="19"/>
                <w:szCs w:val="19"/>
              </w:rPr>
            </w:pPr>
            <w:r w:rsidRPr="00DB2B77">
              <w:rPr>
                <w:rFonts w:eastAsia="Times New Roman"/>
                <w:w w:val="100"/>
                <w:kern w:val="0"/>
                <w:sz w:val="19"/>
                <w:szCs w:val="19"/>
              </w:rPr>
              <w:t xml:space="preserve">Note: Where a regulated entity is a superannuation entity ‘eligible </w:t>
            </w:r>
            <w:proofErr w:type="spellStart"/>
            <w:r w:rsidRPr="00DB2B77">
              <w:rPr>
                <w:rFonts w:eastAsia="Times New Roman"/>
                <w:w w:val="100"/>
                <w:kern w:val="0"/>
                <w:sz w:val="19"/>
                <w:szCs w:val="19"/>
              </w:rPr>
              <w:t>whistleblowers’</w:t>
            </w:r>
            <w:proofErr w:type="spellEnd"/>
            <w:r w:rsidRPr="00DB2B77">
              <w:rPr>
                <w:rFonts w:eastAsia="Times New Roman"/>
                <w:w w:val="100"/>
                <w:kern w:val="0"/>
                <w:sz w:val="19"/>
                <w:szCs w:val="19"/>
              </w:rPr>
              <w:t xml:space="preserve"> are also the trustee, custodian, investment manager of the </w:t>
            </w:r>
            <w:r w:rsidRPr="00DB2B77">
              <w:rPr>
                <w:rFonts w:eastAsia="Times New Roman"/>
                <w:w w:val="100"/>
                <w:kern w:val="0"/>
                <w:sz w:val="19"/>
                <w:szCs w:val="19"/>
              </w:rPr>
              <w:lastRenderedPageBreak/>
              <w:t xml:space="preserve">entity, an officer of a corporate trustee, an employee of the trustee/corporate trustee, an individual who supplies goods/services to a trustee/corporate trustee (or an employee of the same), as well as relatives and dependants if those persons: s 1317AAA(f). </w:t>
            </w:r>
          </w:p>
        </w:tc>
        <w:tc>
          <w:tcPr>
            <w:tcW w:w="0" w:type="auto"/>
            <w:vAlign w:val="top"/>
          </w:tcPr>
          <w:p w14:paraId="60A06599" w14:textId="77777777" w:rsidR="00030303" w:rsidRPr="00DB2B77" w:rsidRDefault="00030303" w:rsidP="00030303">
            <w:pPr>
              <w:spacing w:after="0" w:line="240" w:lineRule="auto"/>
              <w:rPr>
                <w:rFonts w:eastAsia="Times New Roman"/>
                <w:b/>
                <w:w w:val="100"/>
                <w:kern w:val="0"/>
                <w:sz w:val="19"/>
                <w:szCs w:val="19"/>
              </w:rPr>
            </w:pPr>
            <w:r w:rsidRPr="00DB2B77">
              <w:rPr>
                <w:rFonts w:eastAsia="Times New Roman"/>
                <w:w w:val="100"/>
                <w:kern w:val="0"/>
                <w:sz w:val="19"/>
                <w:szCs w:val="19"/>
              </w:rPr>
              <w:lastRenderedPageBreak/>
              <w:t xml:space="preserve">Eligible ‘disclosers’ are (s 337A(1)(a)): </w:t>
            </w:r>
          </w:p>
          <w:p w14:paraId="04667E58"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 xml:space="preserve">an officer or former officer of an organisation, or of a </w:t>
            </w:r>
            <w:r w:rsidRPr="00DB2B77">
              <w:rPr>
                <w:rFonts w:eastAsia="Times New Roman"/>
                <w:w w:val="100"/>
                <w:kern w:val="0"/>
                <w:sz w:val="19"/>
                <w:szCs w:val="19"/>
              </w:rPr>
              <w:lastRenderedPageBreak/>
              <w:t>branch of an organisation;</w:t>
            </w:r>
          </w:p>
          <w:p w14:paraId="6B09AEB0"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an employee or former employee of an organisation, or of a branch of an organisation;</w:t>
            </w:r>
          </w:p>
          <w:p w14:paraId="6D7F8308"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a member or former member of an organisation, or of a branch of an organisation;</w:t>
            </w:r>
          </w:p>
          <w:p w14:paraId="4FD2B5BA"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a person who has or had a contract for the supply of services or goods to, or any other transaction with, an organisation or a branch of an organisation;</w:t>
            </w:r>
          </w:p>
          <w:p w14:paraId="61928918"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a person who has or had a contract for the supply of services or goods to, or any other transaction with, an officer or employee of an organisation or of a branch of an organisation who is or was acting on behalf of the organisation or branch;</w:t>
            </w:r>
          </w:p>
          <w:p w14:paraId="4DA24678"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lastRenderedPageBreak/>
              <w:t>an officer, former officer, employee or former employee of a person referred to in dot points 4 or 5.</w:t>
            </w:r>
          </w:p>
        </w:tc>
        <w:tc>
          <w:tcPr>
            <w:tcW w:w="0" w:type="auto"/>
            <w:vAlign w:val="top"/>
          </w:tcPr>
          <w:p w14:paraId="657640E2" w14:textId="77777777" w:rsidR="00030303" w:rsidRPr="00DB2B77" w:rsidRDefault="00030303" w:rsidP="00030303">
            <w:pPr>
              <w:spacing w:after="0" w:line="240" w:lineRule="auto"/>
              <w:rPr>
                <w:rFonts w:eastAsia="Times New Roman"/>
                <w:b/>
                <w:w w:val="100"/>
                <w:kern w:val="0"/>
                <w:sz w:val="19"/>
                <w:szCs w:val="19"/>
              </w:rPr>
            </w:pPr>
            <w:r w:rsidRPr="00DB2B77">
              <w:rPr>
                <w:rFonts w:eastAsia="Times New Roman"/>
                <w:w w:val="100"/>
                <w:kern w:val="0"/>
                <w:sz w:val="19"/>
                <w:szCs w:val="19"/>
              </w:rPr>
              <w:lastRenderedPageBreak/>
              <w:t xml:space="preserve">An individual is an ‘eligible </w:t>
            </w:r>
            <w:proofErr w:type="spellStart"/>
            <w:r w:rsidRPr="00DB2B77">
              <w:rPr>
                <w:rFonts w:eastAsia="Times New Roman"/>
                <w:w w:val="100"/>
                <w:kern w:val="0"/>
                <w:sz w:val="19"/>
                <w:szCs w:val="19"/>
              </w:rPr>
              <w:t>whistleblower</w:t>
            </w:r>
            <w:proofErr w:type="spellEnd"/>
            <w:r w:rsidRPr="00DB2B77">
              <w:rPr>
                <w:rFonts w:eastAsia="Times New Roman"/>
                <w:w w:val="100"/>
                <w:kern w:val="0"/>
                <w:sz w:val="19"/>
                <w:szCs w:val="19"/>
              </w:rPr>
              <w:t>’ if the individual is, or has been, any of the following (s 14ZZU):</w:t>
            </w:r>
          </w:p>
          <w:p w14:paraId="04A40F66"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lastRenderedPageBreak/>
              <w:t>an officer (within the meaning of the Corporations Act 2001) of the entity;</w:t>
            </w:r>
          </w:p>
          <w:p w14:paraId="24EF61BF"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an employee of the entity;</w:t>
            </w:r>
          </w:p>
          <w:p w14:paraId="0E859DE1"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an individual who supplies services or goods to the entity (whether paid or unpaid);</w:t>
            </w:r>
          </w:p>
          <w:p w14:paraId="37066AC6"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an employee of a person that supplies services or goods to the entity (whether paid or unpaid);</w:t>
            </w:r>
          </w:p>
          <w:p w14:paraId="0C3B03F3"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an individual who is an associate (within the meaning of section 318 of the Income Tax Assessment Act 1936) of the entity;</w:t>
            </w:r>
          </w:p>
          <w:p w14:paraId="4F1348D5"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a spouse or child of an individual referred to in any of the above paragraphs;</w:t>
            </w:r>
          </w:p>
          <w:p w14:paraId="31DDFF21"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a dependant of an individual referred to in any of the paragraphs above, or of such an individual’s spouse;</w:t>
            </w:r>
          </w:p>
          <w:p w14:paraId="2C91501C"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 xml:space="preserve">an individual prescribed by the </w:t>
            </w:r>
            <w:r w:rsidRPr="00DB2B77">
              <w:rPr>
                <w:rFonts w:eastAsia="Times New Roman"/>
                <w:w w:val="100"/>
                <w:kern w:val="0"/>
                <w:sz w:val="19"/>
                <w:szCs w:val="19"/>
              </w:rPr>
              <w:lastRenderedPageBreak/>
              <w:t>regulations for the purposes of this paragraph in relation to the entity.</w:t>
            </w:r>
          </w:p>
        </w:tc>
      </w:tr>
      <w:tr w:rsidR="00030303" w:rsidRPr="00DB2B77" w14:paraId="17F206CA" w14:textId="77777777" w:rsidTr="00030303">
        <w:tc>
          <w:tcPr>
            <w:tcW w:w="0" w:type="auto"/>
            <w:vAlign w:val="top"/>
            <w:hideMark/>
          </w:tcPr>
          <w:p w14:paraId="6A3D7E27" w14:textId="77777777" w:rsidR="00030303" w:rsidRPr="00DB2B77" w:rsidRDefault="00030303" w:rsidP="00030303">
            <w:pPr>
              <w:spacing w:after="0" w:line="240" w:lineRule="auto"/>
              <w:rPr>
                <w:rFonts w:eastAsia="Times New Roman"/>
                <w:b/>
                <w:w w:val="100"/>
                <w:kern w:val="0"/>
                <w:sz w:val="19"/>
                <w:szCs w:val="19"/>
              </w:rPr>
            </w:pPr>
            <w:r w:rsidRPr="00DB2B77">
              <w:rPr>
                <w:rFonts w:eastAsia="Times New Roman"/>
                <w:b/>
                <w:w w:val="100"/>
                <w:kern w:val="0"/>
                <w:sz w:val="19"/>
                <w:szCs w:val="19"/>
              </w:rPr>
              <w:lastRenderedPageBreak/>
              <w:t>Eligible recipients</w:t>
            </w:r>
          </w:p>
        </w:tc>
        <w:tc>
          <w:tcPr>
            <w:tcW w:w="0" w:type="auto"/>
            <w:vAlign w:val="top"/>
          </w:tcPr>
          <w:p w14:paraId="541D929B" w14:textId="77777777" w:rsidR="00030303" w:rsidRPr="00DB2B77" w:rsidRDefault="00030303" w:rsidP="00030303">
            <w:pPr>
              <w:spacing w:after="0" w:line="240" w:lineRule="auto"/>
              <w:contextualSpacing/>
              <w:rPr>
                <w:rFonts w:eastAsia="Times New Roman"/>
                <w:w w:val="100"/>
                <w:kern w:val="0"/>
                <w:sz w:val="19"/>
                <w:szCs w:val="19"/>
              </w:rPr>
            </w:pPr>
            <w:r w:rsidRPr="00DB2B77">
              <w:rPr>
                <w:rFonts w:eastAsia="Times New Roman"/>
                <w:w w:val="100"/>
                <w:kern w:val="0"/>
                <w:sz w:val="19"/>
                <w:szCs w:val="19"/>
              </w:rPr>
              <w:t>The recipient of the disclosure is one of the entities listed in s 26 being either (s 26):</w:t>
            </w:r>
          </w:p>
          <w:p w14:paraId="0D8E287E"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 xml:space="preserve">In the case of internal disclosure, an internal recipient or supervisor of the discloser, </w:t>
            </w:r>
          </w:p>
          <w:p w14:paraId="21B417A2"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lastRenderedPageBreak/>
              <w:t>In the case of an external disclosure any person other than a foreign public official</w:t>
            </w:r>
          </w:p>
          <w:p w14:paraId="14FB5BA0"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In the case of an emergency disclosure any person other than a foreign public official</w:t>
            </w:r>
          </w:p>
          <w:p w14:paraId="09F6BE54"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In the case of legal practitioner disclosure, a legal practitioner</w:t>
            </w:r>
          </w:p>
          <w:p w14:paraId="59F04EA4" w14:textId="77777777" w:rsidR="00030303" w:rsidRPr="00DB2B77" w:rsidRDefault="00030303" w:rsidP="00030303">
            <w:pPr>
              <w:spacing w:after="0" w:line="240" w:lineRule="auto"/>
              <w:rPr>
                <w:rFonts w:eastAsia="Times New Roman"/>
                <w:b/>
                <w:w w:val="100"/>
                <w:kern w:val="0"/>
                <w:sz w:val="19"/>
                <w:szCs w:val="19"/>
              </w:rPr>
            </w:pPr>
          </w:p>
        </w:tc>
        <w:tc>
          <w:tcPr>
            <w:tcW w:w="0" w:type="auto"/>
            <w:vAlign w:val="top"/>
          </w:tcPr>
          <w:p w14:paraId="7305D745" w14:textId="77777777" w:rsidR="00030303" w:rsidRPr="00DB2B77" w:rsidRDefault="00030303" w:rsidP="00030303">
            <w:pPr>
              <w:spacing w:after="0" w:line="240" w:lineRule="auto"/>
              <w:rPr>
                <w:rFonts w:eastAsia="Times New Roman"/>
                <w:b/>
                <w:w w:val="100"/>
                <w:kern w:val="0"/>
                <w:sz w:val="19"/>
                <w:szCs w:val="19"/>
              </w:rPr>
            </w:pPr>
            <w:r w:rsidRPr="00DB2B77">
              <w:rPr>
                <w:rFonts w:eastAsia="Times New Roman"/>
                <w:w w:val="100"/>
                <w:kern w:val="0"/>
                <w:sz w:val="19"/>
                <w:szCs w:val="19"/>
              </w:rPr>
              <w:lastRenderedPageBreak/>
              <w:t>A ‘discloser’ may make a disclosure to one of the following (s 73ZA(2)(a)):</w:t>
            </w:r>
          </w:p>
          <w:p w14:paraId="42206F46"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 xml:space="preserve">the Commissioner of the NDIS Quality and </w:t>
            </w:r>
            <w:r w:rsidRPr="00DB2B77">
              <w:rPr>
                <w:rFonts w:eastAsia="Times New Roman"/>
                <w:w w:val="100"/>
                <w:kern w:val="0"/>
                <w:sz w:val="19"/>
                <w:szCs w:val="19"/>
              </w:rPr>
              <w:lastRenderedPageBreak/>
              <w:t>Safeguards Commission;</w:t>
            </w:r>
          </w:p>
          <w:p w14:paraId="715997FC"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the National Disability Insurance Scheme Launch Transition Agency;</w:t>
            </w:r>
          </w:p>
          <w:p w14:paraId="15288A4C"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if the NDIS provider is a body corporate—a member of the key personnel of the body corporate;</w:t>
            </w:r>
          </w:p>
          <w:p w14:paraId="4F4E40E1"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if the NDIS provider is an unincorporated association—a member of the key personnel of the association;</w:t>
            </w:r>
          </w:p>
          <w:p w14:paraId="081BC538"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if the NDIS provider is a partnership—a partner.</w:t>
            </w:r>
          </w:p>
          <w:p w14:paraId="2C69A1C7" w14:textId="77777777" w:rsidR="00030303" w:rsidRPr="00DB2B77" w:rsidRDefault="00030303" w:rsidP="00030303">
            <w:pPr>
              <w:spacing w:after="0" w:line="240" w:lineRule="auto"/>
              <w:rPr>
                <w:rFonts w:eastAsia="Times New Roman"/>
                <w:w w:val="100"/>
                <w:kern w:val="0"/>
                <w:sz w:val="19"/>
                <w:szCs w:val="19"/>
              </w:rPr>
            </w:pPr>
          </w:p>
        </w:tc>
        <w:tc>
          <w:tcPr>
            <w:tcW w:w="0" w:type="auto"/>
            <w:vAlign w:val="top"/>
          </w:tcPr>
          <w:p w14:paraId="6B701E1D" w14:textId="77777777" w:rsidR="00030303" w:rsidRPr="00DB2B77" w:rsidRDefault="00030303" w:rsidP="00030303">
            <w:pPr>
              <w:spacing w:after="0" w:line="240" w:lineRule="auto"/>
              <w:rPr>
                <w:rFonts w:eastAsia="Times New Roman"/>
                <w:b/>
                <w:w w:val="100"/>
                <w:kern w:val="0"/>
                <w:sz w:val="19"/>
                <w:szCs w:val="19"/>
              </w:rPr>
            </w:pPr>
            <w:r w:rsidRPr="00DB2B77">
              <w:rPr>
                <w:rFonts w:eastAsia="Times New Roman"/>
                <w:w w:val="100"/>
                <w:kern w:val="0"/>
                <w:sz w:val="19"/>
                <w:szCs w:val="19"/>
              </w:rPr>
              <w:lastRenderedPageBreak/>
              <w:t>A ‘discloser’ may make a disclosure to one of the following (s 54</w:t>
            </w:r>
            <w:r w:rsidRPr="00DB2B77">
              <w:rPr>
                <w:rFonts w:eastAsia="Times New Roman"/>
                <w:w w:val="100"/>
                <w:kern w:val="0"/>
                <w:sz w:val="19"/>
                <w:szCs w:val="19"/>
              </w:rPr>
              <w:noBreakHyphen/>
              <w:t>4(2)(a)):</w:t>
            </w:r>
          </w:p>
          <w:p w14:paraId="47404209"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the Quality and Safety Commissioner;</w:t>
            </w:r>
          </w:p>
          <w:p w14:paraId="073224B8"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the approved provider;</w:t>
            </w:r>
          </w:p>
          <w:p w14:paraId="29B76B54"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lastRenderedPageBreak/>
              <w:t>one of the approved provider’s key personnel;</w:t>
            </w:r>
          </w:p>
          <w:p w14:paraId="7C9D501A"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a staff member of an approved provider;</w:t>
            </w:r>
          </w:p>
          <w:p w14:paraId="3A16E670"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another person authorised by the approved provider to receive reports of reportable incidents;</w:t>
            </w:r>
          </w:p>
          <w:p w14:paraId="1B932D3B"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if the disclosure is reported to another person in accordance with the Quality of Care Principles—that person;</w:t>
            </w:r>
          </w:p>
          <w:p w14:paraId="783B0267"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proofErr w:type="gramStart"/>
            <w:r w:rsidRPr="00DB2B77">
              <w:rPr>
                <w:rFonts w:eastAsia="Times New Roman"/>
                <w:w w:val="100"/>
                <w:kern w:val="0"/>
                <w:sz w:val="19"/>
                <w:szCs w:val="19"/>
              </w:rPr>
              <w:t>a police</w:t>
            </w:r>
            <w:proofErr w:type="gramEnd"/>
            <w:r w:rsidRPr="00DB2B77">
              <w:rPr>
                <w:rFonts w:eastAsia="Times New Roman"/>
                <w:w w:val="100"/>
                <w:kern w:val="0"/>
                <w:sz w:val="19"/>
                <w:szCs w:val="19"/>
              </w:rPr>
              <w:t xml:space="preserve"> officer.</w:t>
            </w:r>
          </w:p>
        </w:tc>
        <w:tc>
          <w:tcPr>
            <w:tcW w:w="0" w:type="auto"/>
            <w:vAlign w:val="top"/>
          </w:tcPr>
          <w:p w14:paraId="0AD81EAF" w14:textId="77777777" w:rsidR="00030303" w:rsidRPr="00DB2B77" w:rsidRDefault="00030303" w:rsidP="00030303">
            <w:pPr>
              <w:spacing w:after="0" w:line="240" w:lineRule="auto"/>
              <w:contextualSpacing/>
              <w:rPr>
                <w:rFonts w:eastAsia="Times New Roman"/>
                <w:w w:val="100"/>
                <w:kern w:val="0"/>
                <w:sz w:val="19"/>
                <w:szCs w:val="19"/>
              </w:rPr>
            </w:pPr>
            <w:r w:rsidRPr="00DB2B77">
              <w:rPr>
                <w:rFonts w:eastAsia="Times New Roman"/>
                <w:w w:val="100"/>
                <w:kern w:val="0"/>
                <w:sz w:val="19"/>
                <w:szCs w:val="19"/>
              </w:rPr>
              <w:lastRenderedPageBreak/>
              <w:t>Disclosures which attract protection on the basis of being made to an ‘eligible recipient’ under s 1317AA can be, in relation to a regulated entity that is a body corporate, to any of (s 1317AAC):</w:t>
            </w:r>
          </w:p>
          <w:p w14:paraId="201DDD64"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lastRenderedPageBreak/>
              <w:t>an officer or senior manager of the body corporate or a related body corporate;</w:t>
            </w:r>
          </w:p>
          <w:p w14:paraId="34C3198C"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an auditor, or a member of an audit team conducting an audit, of the body corporate or a related body corporate;</w:t>
            </w:r>
          </w:p>
          <w:p w14:paraId="3BB7EFFE"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an actuary of the body corporate or a related body corporate;</w:t>
            </w:r>
          </w:p>
          <w:p w14:paraId="1A7EBED7"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a person authorised by the body corporate to receive disclosures that may qualify for protection under this Part.</w:t>
            </w:r>
          </w:p>
          <w:p w14:paraId="0B6BF03C" w14:textId="77777777" w:rsidR="00030303" w:rsidRPr="00DB2B77" w:rsidRDefault="00030303" w:rsidP="00030303">
            <w:pPr>
              <w:spacing w:after="0" w:line="240" w:lineRule="auto"/>
              <w:ind w:left="360"/>
              <w:contextualSpacing/>
              <w:rPr>
                <w:rFonts w:eastAsia="Times New Roman"/>
                <w:w w:val="100"/>
                <w:kern w:val="0"/>
                <w:sz w:val="19"/>
                <w:szCs w:val="19"/>
              </w:rPr>
            </w:pPr>
          </w:p>
          <w:p w14:paraId="46EBF521" w14:textId="77777777" w:rsidR="00030303" w:rsidRPr="00DB2B77" w:rsidRDefault="00030303" w:rsidP="00030303">
            <w:pPr>
              <w:spacing w:after="0" w:line="240" w:lineRule="auto"/>
              <w:contextualSpacing/>
              <w:rPr>
                <w:rFonts w:eastAsia="Times New Roman"/>
                <w:w w:val="100"/>
                <w:kern w:val="0"/>
                <w:sz w:val="19"/>
                <w:szCs w:val="19"/>
              </w:rPr>
            </w:pPr>
            <w:r w:rsidRPr="00DB2B77">
              <w:rPr>
                <w:rFonts w:eastAsia="Times New Roman"/>
                <w:w w:val="100"/>
                <w:kern w:val="0"/>
                <w:sz w:val="19"/>
                <w:szCs w:val="19"/>
              </w:rPr>
              <w:t>Note: Where a regulated entity is a superannuation entity an eligible recipient may be an officer, auditor, actuary, or trustee of the entity, as well as the director of a body corporate that is a trustee, or a person authorised by the trustee to receive disclosures: s 1317</w:t>
            </w:r>
            <w:proofErr w:type="gramStart"/>
            <w:r w:rsidRPr="00DB2B77">
              <w:rPr>
                <w:rFonts w:eastAsia="Times New Roman"/>
                <w:w w:val="100"/>
                <w:kern w:val="0"/>
                <w:sz w:val="19"/>
                <w:szCs w:val="19"/>
              </w:rPr>
              <w:t>AAC(</w:t>
            </w:r>
            <w:proofErr w:type="gramEnd"/>
            <w:r w:rsidRPr="00DB2B77">
              <w:rPr>
                <w:rFonts w:eastAsia="Times New Roman"/>
                <w:w w:val="100"/>
                <w:kern w:val="0"/>
                <w:sz w:val="19"/>
                <w:szCs w:val="19"/>
              </w:rPr>
              <w:t>2)</w:t>
            </w:r>
          </w:p>
        </w:tc>
        <w:tc>
          <w:tcPr>
            <w:tcW w:w="0" w:type="auto"/>
            <w:vAlign w:val="top"/>
          </w:tcPr>
          <w:p w14:paraId="6527C9D4" w14:textId="77777777" w:rsidR="00030303" w:rsidRPr="00DB2B77" w:rsidRDefault="00030303" w:rsidP="00030303">
            <w:pPr>
              <w:spacing w:after="0" w:line="240" w:lineRule="auto"/>
              <w:rPr>
                <w:rFonts w:eastAsia="Times New Roman"/>
                <w:b/>
                <w:w w:val="100"/>
                <w:kern w:val="0"/>
                <w:sz w:val="19"/>
                <w:szCs w:val="19"/>
              </w:rPr>
            </w:pPr>
            <w:r w:rsidRPr="00DB2B77">
              <w:rPr>
                <w:rFonts w:eastAsia="Times New Roman"/>
                <w:w w:val="100"/>
                <w:kern w:val="0"/>
                <w:sz w:val="19"/>
                <w:szCs w:val="19"/>
              </w:rPr>
              <w:lastRenderedPageBreak/>
              <w:t>Disclosures must be made to one of the following to be eligible (s 337A(1)(b)):</w:t>
            </w:r>
          </w:p>
          <w:p w14:paraId="4276B7DC"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the Fair Work Commissioner or a member of the staff assisting the Commissioner</w:t>
            </w:r>
          </w:p>
          <w:p w14:paraId="5F7857B3"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lastRenderedPageBreak/>
              <w:t>the General Manager of the FWC</w:t>
            </w:r>
          </w:p>
          <w:p w14:paraId="26C953A2"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an FWC Member or a member of the staff of the FWC</w:t>
            </w:r>
          </w:p>
          <w:p w14:paraId="149A2D05"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 xml:space="preserve">the Australian Building and Construction Commissioner referred to in subsection 15(1) of the </w:t>
            </w:r>
            <w:r w:rsidRPr="00DB2B77">
              <w:rPr>
                <w:rFonts w:eastAsia="Times New Roman"/>
                <w:i/>
                <w:w w:val="100"/>
                <w:kern w:val="0"/>
                <w:sz w:val="19"/>
                <w:szCs w:val="19"/>
              </w:rPr>
              <w:t>Building and Construction Industry (Improving Productivity) Act 2016</w:t>
            </w:r>
          </w:p>
          <w:p w14:paraId="79BDD102"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a Deputy Australian Building and Construction Commissioner referred to in subsection 15(2) of the Building and Construction Industry (Improving Productivity) Act 2016</w:t>
            </w:r>
          </w:p>
          <w:p w14:paraId="020842C6"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 xml:space="preserve">an Australian Building and Construction Inspector referred to in subsection 66(1) of the Building and Construction Industry (Improving </w:t>
            </w:r>
            <w:r w:rsidRPr="00DB2B77">
              <w:rPr>
                <w:rFonts w:eastAsia="Times New Roman"/>
                <w:w w:val="100"/>
                <w:kern w:val="0"/>
                <w:sz w:val="19"/>
                <w:szCs w:val="19"/>
              </w:rPr>
              <w:lastRenderedPageBreak/>
              <w:t>Productivity) Act 2016;</w:t>
            </w:r>
          </w:p>
          <w:p w14:paraId="11F661F3"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a member of the staff of the Office of the Fair Work Ombudsman.</w:t>
            </w:r>
          </w:p>
        </w:tc>
        <w:tc>
          <w:tcPr>
            <w:tcW w:w="0" w:type="auto"/>
            <w:vAlign w:val="top"/>
          </w:tcPr>
          <w:p w14:paraId="34186DB7" w14:textId="77777777" w:rsidR="00030303" w:rsidRPr="00DB2B77" w:rsidRDefault="00030303" w:rsidP="00030303">
            <w:pPr>
              <w:spacing w:after="0" w:line="240" w:lineRule="auto"/>
              <w:rPr>
                <w:rFonts w:eastAsia="Times New Roman"/>
                <w:b/>
                <w:w w:val="100"/>
                <w:kern w:val="0"/>
                <w:sz w:val="19"/>
                <w:szCs w:val="19"/>
              </w:rPr>
            </w:pPr>
            <w:r w:rsidRPr="00DB2B77">
              <w:rPr>
                <w:rFonts w:eastAsia="Times New Roman"/>
                <w:w w:val="100"/>
                <w:kern w:val="0"/>
                <w:sz w:val="19"/>
                <w:szCs w:val="19"/>
              </w:rPr>
              <w:lastRenderedPageBreak/>
              <w:t>Each of the following is an eligible recipient in relation to an entity (s</w:t>
            </w:r>
            <w:r w:rsidRPr="00DB2B77">
              <w:rPr>
                <w:rFonts w:eastAsia="Times New Roman"/>
                <w:b/>
                <w:w w:val="100"/>
                <w:kern w:val="0"/>
                <w:sz w:val="19"/>
                <w:szCs w:val="19"/>
              </w:rPr>
              <w:t> </w:t>
            </w:r>
            <w:r w:rsidRPr="00DB2B77">
              <w:rPr>
                <w:rFonts w:eastAsia="Times New Roman"/>
                <w:w w:val="100"/>
                <w:kern w:val="0"/>
                <w:sz w:val="19"/>
                <w:szCs w:val="19"/>
              </w:rPr>
              <w:t>14ZZV):</w:t>
            </w:r>
          </w:p>
          <w:p w14:paraId="2835C612"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an auditor, or a member of an audit team conducting an audit, of the entity;</w:t>
            </w:r>
          </w:p>
          <w:p w14:paraId="31FC6A0B"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lastRenderedPageBreak/>
              <w:t>a registered tax agent or BAS agent who provides tax agent services or BAS services to the entity;</w:t>
            </w:r>
          </w:p>
          <w:p w14:paraId="3B7D091B"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a person authorised by the entity to receive disclosures that may qualify for protection under this Part;</w:t>
            </w:r>
          </w:p>
          <w:p w14:paraId="46D313DF"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a person or body prescribed for the purposes of this paragraph in relation to the entity.</w:t>
            </w:r>
          </w:p>
          <w:p w14:paraId="2AAE1B4B" w14:textId="77777777" w:rsidR="00030303" w:rsidRPr="00DB2B77" w:rsidRDefault="00030303" w:rsidP="00030303">
            <w:pPr>
              <w:spacing w:after="0" w:line="240" w:lineRule="auto"/>
              <w:rPr>
                <w:rFonts w:eastAsia="Times New Roman"/>
                <w:w w:val="100"/>
                <w:kern w:val="0"/>
                <w:sz w:val="19"/>
                <w:szCs w:val="19"/>
              </w:rPr>
            </w:pPr>
          </w:p>
          <w:p w14:paraId="7459D872" w14:textId="77777777" w:rsidR="00030303" w:rsidRPr="00DB2B77" w:rsidRDefault="00030303" w:rsidP="00030303">
            <w:pPr>
              <w:spacing w:after="0" w:line="240" w:lineRule="auto"/>
              <w:rPr>
                <w:rFonts w:eastAsia="Times New Roman"/>
                <w:w w:val="100"/>
                <w:kern w:val="0"/>
                <w:sz w:val="19"/>
                <w:szCs w:val="19"/>
              </w:rPr>
            </w:pPr>
            <w:r w:rsidRPr="00DB2B77">
              <w:rPr>
                <w:rFonts w:eastAsia="Times New Roman"/>
                <w:w w:val="100"/>
                <w:kern w:val="0"/>
                <w:sz w:val="19"/>
                <w:szCs w:val="19"/>
              </w:rPr>
              <w:t>If the entity is a body corporate, each of the following is an eligible recipient in relation to the entity:</w:t>
            </w:r>
          </w:p>
          <w:p w14:paraId="35D18334"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 xml:space="preserve">a director, secretary or senior manager (within the meaning of the </w:t>
            </w:r>
            <w:r w:rsidRPr="00DB2B77">
              <w:rPr>
                <w:rFonts w:eastAsia="Times New Roman"/>
                <w:i/>
                <w:w w:val="100"/>
                <w:kern w:val="0"/>
                <w:sz w:val="19"/>
                <w:szCs w:val="19"/>
              </w:rPr>
              <w:t>Corporations Act 2001</w:t>
            </w:r>
            <w:r w:rsidRPr="00DB2B77">
              <w:rPr>
                <w:rFonts w:eastAsia="Times New Roman"/>
                <w:w w:val="100"/>
                <w:kern w:val="0"/>
                <w:sz w:val="19"/>
                <w:szCs w:val="19"/>
              </w:rPr>
              <w:t>) of the body corporate;</w:t>
            </w:r>
          </w:p>
          <w:p w14:paraId="41A32A0C"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any other employee or officer of the body corporate who has functions or duties that relate to the tax affairs of the body corporate.</w:t>
            </w:r>
          </w:p>
          <w:p w14:paraId="2B90E521" w14:textId="77777777" w:rsidR="00030303" w:rsidRPr="00DB2B77" w:rsidRDefault="00030303" w:rsidP="00030303">
            <w:pPr>
              <w:spacing w:after="0" w:line="240" w:lineRule="auto"/>
              <w:rPr>
                <w:rFonts w:eastAsia="Times New Roman"/>
                <w:w w:val="100"/>
                <w:kern w:val="0"/>
                <w:sz w:val="19"/>
                <w:szCs w:val="19"/>
              </w:rPr>
            </w:pPr>
          </w:p>
          <w:p w14:paraId="70B2E380" w14:textId="77777777" w:rsidR="00030303" w:rsidRPr="00DB2B77" w:rsidRDefault="00030303" w:rsidP="00030303">
            <w:pPr>
              <w:spacing w:after="0" w:line="240" w:lineRule="auto"/>
              <w:rPr>
                <w:rFonts w:eastAsia="Times New Roman"/>
                <w:w w:val="100"/>
                <w:kern w:val="0"/>
                <w:sz w:val="19"/>
                <w:szCs w:val="19"/>
              </w:rPr>
            </w:pPr>
            <w:r w:rsidRPr="00DB2B77">
              <w:rPr>
                <w:rFonts w:eastAsia="Times New Roman"/>
                <w:w w:val="100"/>
                <w:kern w:val="0"/>
                <w:sz w:val="19"/>
                <w:szCs w:val="19"/>
              </w:rPr>
              <w:t>If the entity is a trust, each of the following is an eligible recipient in relation to the entity:</w:t>
            </w:r>
          </w:p>
          <w:p w14:paraId="19CE8E67"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a trustee of the trust;</w:t>
            </w:r>
          </w:p>
          <w:p w14:paraId="2439C449"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a person authorised by a trustee of the trust to receive disclosures that may qualify for protection under this Part.</w:t>
            </w:r>
          </w:p>
          <w:p w14:paraId="572BE734" w14:textId="77777777" w:rsidR="00030303" w:rsidRPr="00DB2B77" w:rsidRDefault="00030303" w:rsidP="00030303">
            <w:pPr>
              <w:spacing w:after="0" w:line="240" w:lineRule="auto"/>
              <w:rPr>
                <w:rFonts w:eastAsia="Times New Roman"/>
                <w:w w:val="100"/>
                <w:kern w:val="0"/>
                <w:sz w:val="19"/>
                <w:szCs w:val="19"/>
              </w:rPr>
            </w:pPr>
          </w:p>
          <w:p w14:paraId="4A51A90E" w14:textId="77777777" w:rsidR="00030303" w:rsidRPr="00DB2B77" w:rsidRDefault="00030303" w:rsidP="00030303">
            <w:pPr>
              <w:spacing w:after="0" w:line="240" w:lineRule="auto"/>
              <w:rPr>
                <w:rFonts w:eastAsia="Times New Roman"/>
                <w:w w:val="100"/>
                <w:kern w:val="0"/>
                <w:sz w:val="19"/>
                <w:szCs w:val="19"/>
              </w:rPr>
            </w:pPr>
            <w:r w:rsidRPr="00DB2B77">
              <w:rPr>
                <w:rFonts w:eastAsia="Times New Roman"/>
                <w:w w:val="100"/>
                <w:kern w:val="0"/>
                <w:sz w:val="19"/>
                <w:szCs w:val="19"/>
              </w:rPr>
              <w:t>If the entity is a partnership, each of the following is an eligible recipient in relation to the entity:</w:t>
            </w:r>
          </w:p>
          <w:p w14:paraId="39CF5EE5"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a partner in the partnership;</w:t>
            </w:r>
          </w:p>
          <w:p w14:paraId="637844BE"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a person authorised by a partner in the partnership to receive disclosures that may qualify for protection under this Part.</w:t>
            </w:r>
          </w:p>
        </w:tc>
      </w:tr>
      <w:tr w:rsidR="00030303" w:rsidRPr="00DB2B77" w14:paraId="1825AB85" w14:textId="77777777" w:rsidTr="00030303">
        <w:trPr>
          <w:trHeight w:val="70"/>
        </w:trPr>
        <w:tc>
          <w:tcPr>
            <w:tcW w:w="0" w:type="auto"/>
            <w:vAlign w:val="top"/>
            <w:hideMark/>
          </w:tcPr>
          <w:p w14:paraId="3AFB3E16" w14:textId="77777777" w:rsidR="00030303" w:rsidRPr="00DB2B77" w:rsidRDefault="00030303" w:rsidP="00030303">
            <w:pPr>
              <w:spacing w:after="0" w:line="240" w:lineRule="auto"/>
              <w:rPr>
                <w:rFonts w:eastAsia="Times New Roman"/>
                <w:b/>
                <w:w w:val="100"/>
                <w:kern w:val="0"/>
                <w:sz w:val="19"/>
                <w:szCs w:val="19"/>
              </w:rPr>
            </w:pPr>
            <w:r w:rsidRPr="00DB2B77">
              <w:rPr>
                <w:rFonts w:eastAsia="Times New Roman"/>
                <w:b/>
                <w:w w:val="100"/>
                <w:kern w:val="0"/>
                <w:sz w:val="19"/>
                <w:szCs w:val="19"/>
              </w:rPr>
              <w:lastRenderedPageBreak/>
              <w:t>Confidentiality of discloser’s identity</w:t>
            </w:r>
          </w:p>
        </w:tc>
        <w:tc>
          <w:tcPr>
            <w:tcW w:w="0" w:type="auto"/>
            <w:vAlign w:val="top"/>
          </w:tcPr>
          <w:p w14:paraId="5389AF80" w14:textId="77777777" w:rsidR="00030303" w:rsidRPr="00DB2B77" w:rsidRDefault="00030303" w:rsidP="00030303">
            <w:pPr>
              <w:spacing w:after="0" w:line="240" w:lineRule="auto"/>
              <w:rPr>
                <w:rFonts w:eastAsia="Times New Roman"/>
                <w:w w:val="100"/>
                <w:kern w:val="0"/>
                <w:sz w:val="19"/>
                <w:szCs w:val="19"/>
              </w:rPr>
            </w:pPr>
            <w:r w:rsidRPr="00DB2B77">
              <w:rPr>
                <w:rFonts w:eastAsia="Times New Roman"/>
                <w:w w:val="100"/>
                <w:kern w:val="0"/>
                <w:sz w:val="19"/>
                <w:szCs w:val="19"/>
              </w:rPr>
              <w:t>A person commits an offence if another person (the discloser) makes a public interest disclosure; and the first person discloses information that (s 20):</w:t>
            </w:r>
          </w:p>
          <w:p w14:paraId="641EB5B6"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lastRenderedPageBreak/>
              <w:t>was obtained by any person in that person’s capacity as a public official; and</w:t>
            </w:r>
          </w:p>
          <w:p w14:paraId="092DFCC2"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is likely to enable the identification of the second person as a person who has made a public interest disclosure</w:t>
            </w:r>
            <w:r w:rsidRPr="00DB2B77">
              <w:rPr>
                <w:rFonts w:eastAsia="Times New Roman"/>
                <w:w w:val="100"/>
                <w:kern w:val="0"/>
                <w:sz w:val="19"/>
                <w:szCs w:val="19"/>
              </w:rPr>
              <w:br/>
            </w:r>
          </w:p>
          <w:p w14:paraId="444658B2" w14:textId="77777777" w:rsidR="00030303" w:rsidRPr="00DB2B77" w:rsidRDefault="00030303" w:rsidP="00030303">
            <w:pPr>
              <w:spacing w:after="0" w:line="240" w:lineRule="auto"/>
              <w:contextualSpacing/>
              <w:rPr>
                <w:rFonts w:eastAsia="Times New Roman"/>
                <w:b/>
                <w:w w:val="100"/>
                <w:kern w:val="0"/>
                <w:sz w:val="19"/>
                <w:szCs w:val="19"/>
              </w:rPr>
            </w:pPr>
            <w:r w:rsidRPr="00DB2B77">
              <w:rPr>
                <w:rFonts w:eastAsia="Times New Roman"/>
                <w:w w:val="100"/>
                <w:kern w:val="0"/>
                <w:sz w:val="19"/>
                <w:szCs w:val="19"/>
              </w:rPr>
              <w:t>Penalty:  Imprisonment for 6 months or 30 penalty units, or both</w:t>
            </w:r>
          </w:p>
        </w:tc>
        <w:tc>
          <w:tcPr>
            <w:tcW w:w="0" w:type="auto"/>
            <w:vAlign w:val="top"/>
          </w:tcPr>
          <w:p w14:paraId="59C583AC" w14:textId="77777777" w:rsidR="00030303" w:rsidRPr="00DB2B77" w:rsidRDefault="00030303" w:rsidP="00030303">
            <w:pPr>
              <w:spacing w:after="0" w:line="240" w:lineRule="auto"/>
              <w:rPr>
                <w:rFonts w:eastAsia="Times New Roman"/>
                <w:w w:val="100"/>
                <w:kern w:val="0"/>
                <w:sz w:val="19"/>
                <w:szCs w:val="19"/>
              </w:rPr>
            </w:pPr>
          </w:p>
        </w:tc>
        <w:tc>
          <w:tcPr>
            <w:tcW w:w="0" w:type="auto"/>
            <w:vAlign w:val="top"/>
          </w:tcPr>
          <w:p w14:paraId="0959439E" w14:textId="77777777" w:rsidR="00030303" w:rsidRPr="00DB2B77" w:rsidRDefault="00030303" w:rsidP="00030303">
            <w:pPr>
              <w:spacing w:after="0" w:line="240" w:lineRule="auto"/>
              <w:ind w:left="360"/>
              <w:contextualSpacing/>
              <w:rPr>
                <w:rFonts w:eastAsia="Times New Roman"/>
                <w:w w:val="100"/>
                <w:kern w:val="0"/>
                <w:sz w:val="19"/>
                <w:szCs w:val="19"/>
              </w:rPr>
            </w:pPr>
          </w:p>
        </w:tc>
        <w:tc>
          <w:tcPr>
            <w:tcW w:w="0" w:type="auto"/>
            <w:vAlign w:val="top"/>
          </w:tcPr>
          <w:p w14:paraId="4083A79D" w14:textId="77777777" w:rsidR="00030303" w:rsidRPr="00DB2B77" w:rsidRDefault="00030303" w:rsidP="00030303">
            <w:pPr>
              <w:spacing w:after="0" w:line="240" w:lineRule="auto"/>
              <w:contextualSpacing/>
              <w:rPr>
                <w:rFonts w:eastAsia="Times New Roman"/>
                <w:b/>
                <w:w w:val="100"/>
                <w:kern w:val="0"/>
                <w:sz w:val="19"/>
                <w:szCs w:val="19"/>
              </w:rPr>
            </w:pPr>
            <w:r w:rsidRPr="00DB2B77">
              <w:rPr>
                <w:rFonts w:eastAsia="Times New Roman"/>
                <w:w w:val="100"/>
                <w:kern w:val="0"/>
                <w:sz w:val="19"/>
                <w:szCs w:val="19"/>
              </w:rPr>
              <w:t>A person (the first person) contravenes this subsection if (s 1317AAE):</w:t>
            </w:r>
          </w:p>
          <w:p w14:paraId="15C21A1D"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another person makes disclosure of information that qualifies for protection and;</w:t>
            </w:r>
          </w:p>
          <w:p w14:paraId="52708979"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lastRenderedPageBreak/>
              <w:t>The first person discloses the identity of the discloser or information that is likely to lead to the identification of the discloser; and</w:t>
            </w:r>
          </w:p>
          <w:p w14:paraId="4256D6FA"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The confidential information is obtained because of the disclosure; and</w:t>
            </w:r>
          </w:p>
          <w:p w14:paraId="1881FD81"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The disclosure was made to ASIC/APRA/AFP/ a legal practitioner, a person or body prescribed/a Commonwealth (or State/Territory) authority for the purpose of assisting the authority in the performance of its functions or with the consent of the person.</w:t>
            </w:r>
          </w:p>
        </w:tc>
        <w:tc>
          <w:tcPr>
            <w:tcW w:w="0" w:type="auto"/>
            <w:vAlign w:val="top"/>
          </w:tcPr>
          <w:p w14:paraId="4DE6F8AE" w14:textId="77777777" w:rsidR="00030303" w:rsidRPr="00DB2B77" w:rsidRDefault="00030303" w:rsidP="00030303">
            <w:pPr>
              <w:spacing w:after="0" w:line="240" w:lineRule="auto"/>
              <w:ind w:left="360"/>
              <w:contextualSpacing/>
              <w:rPr>
                <w:rFonts w:eastAsia="Times New Roman"/>
                <w:w w:val="100"/>
                <w:kern w:val="0"/>
                <w:sz w:val="19"/>
                <w:szCs w:val="19"/>
              </w:rPr>
            </w:pPr>
          </w:p>
        </w:tc>
        <w:tc>
          <w:tcPr>
            <w:tcW w:w="0" w:type="auto"/>
            <w:vAlign w:val="top"/>
          </w:tcPr>
          <w:p w14:paraId="30DF1B9B" w14:textId="77777777" w:rsidR="00030303" w:rsidRPr="00DB2B77" w:rsidRDefault="00030303" w:rsidP="00030303">
            <w:pPr>
              <w:spacing w:after="0" w:line="240" w:lineRule="auto"/>
              <w:rPr>
                <w:rFonts w:eastAsia="Times New Roman"/>
                <w:b/>
                <w:w w:val="100"/>
                <w:kern w:val="0"/>
                <w:sz w:val="19"/>
                <w:szCs w:val="19"/>
              </w:rPr>
            </w:pPr>
            <w:r w:rsidRPr="00DB2B77">
              <w:rPr>
                <w:rFonts w:eastAsia="Times New Roman"/>
                <w:w w:val="100"/>
                <w:kern w:val="0"/>
                <w:sz w:val="19"/>
                <w:szCs w:val="19"/>
              </w:rPr>
              <w:t xml:space="preserve">A person commits an offence if another person (the discloser) makes a disclosure of information that qualifies for protection and the first person </w:t>
            </w:r>
            <w:r w:rsidRPr="00DB2B77">
              <w:rPr>
                <w:rFonts w:eastAsia="Times New Roman"/>
                <w:w w:val="100"/>
                <w:kern w:val="0"/>
                <w:sz w:val="19"/>
                <w:szCs w:val="19"/>
              </w:rPr>
              <w:lastRenderedPageBreak/>
              <w:t>discloses any of the following (s 14</w:t>
            </w:r>
            <w:proofErr w:type="gramStart"/>
            <w:r w:rsidRPr="00DB2B77">
              <w:rPr>
                <w:rFonts w:eastAsia="Times New Roman"/>
                <w:w w:val="100"/>
                <w:kern w:val="0"/>
                <w:sz w:val="19"/>
                <w:szCs w:val="19"/>
              </w:rPr>
              <w:t>ZZW(</w:t>
            </w:r>
            <w:proofErr w:type="gramEnd"/>
            <w:r w:rsidRPr="00DB2B77">
              <w:rPr>
                <w:rFonts w:eastAsia="Times New Roman"/>
                <w:w w:val="100"/>
                <w:kern w:val="0"/>
                <w:sz w:val="19"/>
                <w:szCs w:val="19"/>
              </w:rPr>
              <w:t>1)):</w:t>
            </w:r>
          </w:p>
          <w:p w14:paraId="7A32CE77"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the identity of the discloser;</w:t>
            </w:r>
          </w:p>
          <w:p w14:paraId="0A279E2D"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information that is likely to lead to the identification of the discloser.</w:t>
            </w:r>
          </w:p>
          <w:p w14:paraId="2CEBCA0A" w14:textId="77777777" w:rsidR="00030303" w:rsidRPr="00DB2B77" w:rsidRDefault="00030303" w:rsidP="00030303">
            <w:pPr>
              <w:spacing w:after="0" w:line="240" w:lineRule="auto"/>
              <w:rPr>
                <w:rFonts w:eastAsia="Times New Roman"/>
                <w:w w:val="100"/>
                <w:kern w:val="0"/>
                <w:sz w:val="19"/>
                <w:szCs w:val="19"/>
              </w:rPr>
            </w:pPr>
            <w:r w:rsidRPr="00DB2B77">
              <w:rPr>
                <w:rFonts w:eastAsia="Times New Roman"/>
                <w:w w:val="100"/>
                <w:kern w:val="0"/>
                <w:sz w:val="19"/>
                <w:szCs w:val="19"/>
              </w:rPr>
              <w:t>The information must have been obtained by the first person directly or indirectly because of the qualifying disclosure the first person’s disclosure must not authorised.</w:t>
            </w:r>
          </w:p>
          <w:p w14:paraId="6CB2A31E" w14:textId="77777777" w:rsidR="00030303" w:rsidRPr="00DB2B77" w:rsidRDefault="00030303" w:rsidP="00030303">
            <w:pPr>
              <w:spacing w:after="0" w:line="240" w:lineRule="auto"/>
              <w:rPr>
                <w:rFonts w:eastAsia="Times New Roman"/>
                <w:w w:val="100"/>
                <w:kern w:val="0"/>
                <w:sz w:val="19"/>
                <w:szCs w:val="19"/>
              </w:rPr>
            </w:pPr>
          </w:p>
          <w:p w14:paraId="1C28ACAA" w14:textId="77777777" w:rsidR="00030303" w:rsidRPr="00DB2B77" w:rsidRDefault="00030303" w:rsidP="00030303">
            <w:pPr>
              <w:spacing w:after="0" w:line="240" w:lineRule="auto"/>
              <w:rPr>
                <w:rFonts w:eastAsia="Times New Roman"/>
                <w:w w:val="100"/>
                <w:kern w:val="0"/>
                <w:sz w:val="19"/>
                <w:szCs w:val="19"/>
              </w:rPr>
            </w:pPr>
            <w:r w:rsidRPr="00DB2B77">
              <w:rPr>
                <w:rFonts w:eastAsia="Times New Roman"/>
                <w:w w:val="100"/>
                <w:kern w:val="0"/>
                <w:sz w:val="19"/>
                <w:szCs w:val="19"/>
              </w:rPr>
              <w:t>Penalty:  Imprisonment for 6 months or 60 penalty units, or both.</w:t>
            </w:r>
          </w:p>
          <w:p w14:paraId="5F74A57C" w14:textId="77777777" w:rsidR="00030303" w:rsidRPr="00DB2B77" w:rsidRDefault="00030303" w:rsidP="00030303">
            <w:pPr>
              <w:spacing w:after="0" w:line="240" w:lineRule="auto"/>
              <w:rPr>
                <w:rFonts w:eastAsia="Times New Roman"/>
                <w:w w:val="100"/>
                <w:kern w:val="0"/>
                <w:sz w:val="19"/>
                <w:szCs w:val="19"/>
              </w:rPr>
            </w:pPr>
          </w:p>
          <w:p w14:paraId="18FD7AF0" w14:textId="77777777" w:rsidR="00030303" w:rsidRPr="00DB2B77" w:rsidRDefault="00030303" w:rsidP="00030303">
            <w:pPr>
              <w:spacing w:after="0" w:line="240" w:lineRule="auto"/>
              <w:rPr>
                <w:rFonts w:eastAsia="Times New Roman"/>
                <w:w w:val="100"/>
                <w:kern w:val="0"/>
                <w:sz w:val="19"/>
                <w:szCs w:val="19"/>
              </w:rPr>
            </w:pPr>
            <w:r w:rsidRPr="00DB2B77">
              <w:rPr>
                <w:rFonts w:eastAsia="Times New Roman"/>
                <w:w w:val="100"/>
                <w:kern w:val="0"/>
                <w:sz w:val="19"/>
                <w:szCs w:val="19"/>
              </w:rPr>
              <w:t>Disclosures are authorised if (s 14</w:t>
            </w:r>
            <w:proofErr w:type="gramStart"/>
            <w:r w:rsidRPr="00DB2B77">
              <w:rPr>
                <w:rFonts w:eastAsia="Times New Roman"/>
                <w:w w:val="100"/>
                <w:kern w:val="0"/>
                <w:sz w:val="19"/>
                <w:szCs w:val="19"/>
              </w:rPr>
              <w:t>ZZW(</w:t>
            </w:r>
            <w:proofErr w:type="gramEnd"/>
            <w:r w:rsidRPr="00DB2B77">
              <w:rPr>
                <w:rFonts w:eastAsia="Times New Roman"/>
                <w:w w:val="100"/>
                <w:kern w:val="0"/>
                <w:sz w:val="19"/>
                <w:szCs w:val="19"/>
              </w:rPr>
              <w:t xml:space="preserve">2)): </w:t>
            </w:r>
          </w:p>
          <w:p w14:paraId="4F620A73"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made to the Commissioner; or</w:t>
            </w:r>
          </w:p>
          <w:p w14:paraId="7F37BFA1"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 xml:space="preserve">made to a member of the Australian Federal Police (within the meaning of the </w:t>
            </w:r>
            <w:r w:rsidRPr="00DB2B77">
              <w:rPr>
                <w:rFonts w:eastAsia="Times New Roman"/>
                <w:i/>
                <w:w w:val="100"/>
                <w:kern w:val="0"/>
                <w:sz w:val="19"/>
                <w:szCs w:val="19"/>
              </w:rPr>
              <w:t>Australian Federal Police Act 1979</w:t>
            </w:r>
            <w:r w:rsidRPr="00DB2B77">
              <w:rPr>
                <w:rFonts w:eastAsia="Times New Roman"/>
                <w:w w:val="100"/>
                <w:kern w:val="0"/>
                <w:sz w:val="19"/>
                <w:szCs w:val="19"/>
              </w:rPr>
              <w:t>); or</w:t>
            </w:r>
          </w:p>
          <w:p w14:paraId="18BF8C3C"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 xml:space="preserve">made to a legal practitioner for the purpose of obtaining </w:t>
            </w:r>
            <w:r w:rsidRPr="00DB2B77">
              <w:rPr>
                <w:rFonts w:eastAsia="Times New Roman"/>
                <w:w w:val="100"/>
                <w:kern w:val="0"/>
                <w:sz w:val="19"/>
                <w:szCs w:val="19"/>
              </w:rPr>
              <w:lastRenderedPageBreak/>
              <w:t>legal advice or legal representation in relation to the operation of this Part; or</w:t>
            </w:r>
          </w:p>
          <w:p w14:paraId="0773A04F"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is made to a person or body prescribed by the regulations for the purposes of this paragraph; or</w:t>
            </w:r>
          </w:p>
          <w:p w14:paraId="79D9A740"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made with the consent of the discloser.</w:t>
            </w:r>
          </w:p>
          <w:p w14:paraId="2DF23711" w14:textId="77777777" w:rsidR="00030303" w:rsidRPr="00DB2B77" w:rsidRDefault="00030303" w:rsidP="00030303">
            <w:pPr>
              <w:spacing w:after="0" w:line="240" w:lineRule="auto"/>
              <w:contextualSpacing/>
              <w:rPr>
                <w:rFonts w:eastAsia="Times New Roman"/>
                <w:w w:val="100"/>
                <w:kern w:val="0"/>
                <w:sz w:val="19"/>
                <w:szCs w:val="19"/>
              </w:rPr>
            </w:pPr>
          </w:p>
          <w:p w14:paraId="4037418C" w14:textId="77777777" w:rsidR="00030303" w:rsidRPr="00DB2B77" w:rsidRDefault="00030303" w:rsidP="00030303">
            <w:pPr>
              <w:spacing w:after="0" w:line="240" w:lineRule="auto"/>
              <w:contextualSpacing/>
              <w:rPr>
                <w:rFonts w:eastAsia="Times New Roman"/>
                <w:w w:val="100"/>
                <w:kern w:val="0"/>
                <w:sz w:val="19"/>
                <w:szCs w:val="19"/>
              </w:rPr>
            </w:pPr>
            <w:r w:rsidRPr="00DB2B77">
              <w:rPr>
                <w:rFonts w:eastAsia="Times New Roman"/>
                <w:w w:val="100"/>
                <w:kern w:val="0"/>
                <w:sz w:val="19"/>
                <w:szCs w:val="19"/>
              </w:rPr>
              <w:t>The offence provision does not apply if the disclosure by the first person is not of the identity of the discloser and (s 14</w:t>
            </w:r>
            <w:proofErr w:type="gramStart"/>
            <w:r w:rsidRPr="00DB2B77">
              <w:rPr>
                <w:rFonts w:eastAsia="Times New Roman"/>
                <w:w w:val="100"/>
                <w:kern w:val="0"/>
                <w:sz w:val="19"/>
                <w:szCs w:val="19"/>
              </w:rPr>
              <w:t>ZZW(</w:t>
            </w:r>
            <w:proofErr w:type="gramEnd"/>
            <w:r w:rsidRPr="00DB2B77">
              <w:rPr>
                <w:rFonts w:eastAsia="Times New Roman"/>
                <w:w w:val="100"/>
                <w:kern w:val="0"/>
                <w:sz w:val="19"/>
                <w:szCs w:val="19"/>
              </w:rPr>
              <w:t>3));</w:t>
            </w:r>
          </w:p>
          <w:p w14:paraId="22DA5E72"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it is reasonably necessary for the purposes of investigating misconduct, or an improper state of affairs or circumstances, to which the qualifying disclosure relates; and</w:t>
            </w:r>
          </w:p>
          <w:p w14:paraId="2E65F2F0"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 xml:space="preserve">the first person takes all reasonable steps to reduce the risk </w:t>
            </w:r>
            <w:r w:rsidRPr="00DB2B77">
              <w:rPr>
                <w:rFonts w:eastAsia="Times New Roman"/>
                <w:w w:val="100"/>
                <w:kern w:val="0"/>
                <w:sz w:val="19"/>
                <w:szCs w:val="19"/>
              </w:rPr>
              <w:lastRenderedPageBreak/>
              <w:t>that the discloser will be identified.</w:t>
            </w:r>
          </w:p>
        </w:tc>
      </w:tr>
      <w:tr w:rsidR="00030303" w:rsidRPr="00DB2B77" w14:paraId="7345C9AE" w14:textId="77777777" w:rsidTr="00030303">
        <w:tc>
          <w:tcPr>
            <w:tcW w:w="0" w:type="auto"/>
            <w:vAlign w:val="top"/>
            <w:hideMark/>
          </w:tcPr>
          <w:p w14:paraId="7831C7FB" w14:textId="77777777" w:rsidR="00030303" w:rsidRPr="00DB2B77" w:rsidRDefault="00030303" w:rsidP="00030303">
            <w:pPr>
              <w:spacing w:after="0" w:line="240" w:lineRule="auto"/>
              <w:rPr>
                <w:rFonts w:eastAsia="Times New Roman"/>
                <w:b/>
                <w:w w:val="100"/>
                <w:kern w:val="0"/>
                <w:sz w:val="19"/>
                <w:szCs w:val="19"/>
              </w:rPr>
            </w:pPr>
            <w:r w:rsidRPr="00DB2B77">
              <w:rPr>
                <w:rFonts w:eastAsia="Times New Roman"/>
                <w:b/>
                <w:w w:val="100"/>
                <w:kern w:val="0"/>
                <w:sz w:val="19"/>
                <w:szCs w:val="19"/>
              </w:rPr>
              <w:lastRenderedPageBreak/>
              <w:t>Disclosure that qualifies for protection not actionable</w:t>
            </w:r>
          </w:p>
        </w:tc>
        <w:tc>
          <w:tcPr>
            <w:tcW w:w="0" w:type="auto"/>
            <w:vAlign w:val="top"/>
          </w:tcPr>
          <w:p w14:paraId="28D1F101" w14:textId="77777777" w:rsidR="00030303" w:rsidRPr="00DB2B77" w:rsidRDefault="00030303" w:rsidP="00030303">
            <w:pPr>
              <w:spacing w:after="0" w:line="240" w:lineRule="auto"/>
              <w:rPr>
                <w:rFonts w:eastAsia="Times New Roman"/>
                <w:w w:val="100"/>
                <w:kern w:val="0"/>
                <w:sz w:val="19"/>
                <w:szCs w:val="19"/>
              </w:rPr>
            </w:pPr>
            <w:r w:rsidRPr="00DB2B77">
              <w:rPr>
                <w:rFonts w:eastAsia="Times New Roman"/>
                <w:w w:val="100"/>
                <w:kern w:val="0"/>
                <w:sz w:val="19"/>
                <w:szCs w:val="19"/>
              </w:rPr>
              <w:t>If an individual makes a public interest disclosure (s 10):</w:t>
            </w:r>
          </w:p>
          <w:p w14:paraId="191780EB"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 xml:space="preserve">the individual is not subject to any civil, criminal or administrative liability (including disciplinary action) for making the public interest disclosure; </w:t>
            </w:r>
          </w:p>
          <w:p w14:paraId="35B96AC6"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 xml:space="preserve"> no contractual or other remedy may be enforced, and no contractual or other right may be exercised, against the individual on the basis of the public interest disclosure.</w:t>
            </w:r>
          </w:p>
          <w:p w14:paraId="2541F8A3"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The person has absolute privilege in proceedings for defamation in respect of the public interest disclosure; and</w:t>
            </w:r>
          </w:p>
          <w:p w14:paraId="6EEC3C5C"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a contract to which the individual is a party must not be terminated on the basis that the public interest disclosure constitutes a breach of the contract.</w:t>
            </w:r>
          </w:p>
        </w:tc>
        <w:tc>
          <w:tcPr>
            <w:tcW w:w="0" w:type="auto"/>
            <w:vAlign w:val="top"/>
          </w:tcPr>
          <w:p w14:paraId="77D489A2" w14:textId="77777777" w:rsidR="00030303" w:rsidRPr="00DB2B77" w:rsidRDefault="00030303" w:rsidP="00030303">
            <w:pPr>
              <w:spacing w:after="0" w:line="240" w:lineRule="auto"/>
              <w:rPr>
                <w:rFonts w:eastAsia="Times New Roman"/>
                <w:w w:val="100"/>
                <w:kern w:val="0"/>
                <w:sz w:val="19"/>
                <w:szCs w:val="19"/>
              </w:rPr>
            </w:pPr>
          </w:p>
        </w:tc>
        <w:tc>
          <w:tcPr>
            <w:tcW w:w="0" w:type="auto"/>
            <w:vAlign w:val="top"/>
          </w:tcPr>
          <w:p w14:paraId="2FB10191" w14:textId="77777777" w:rsidR="00030303" w:rsidRPr="00DB2B77" w:rsidRDefault="00030303" w:rsidP="00030303">
            <w:pPr>
              <w:spacing w:after="0" w:line="240" w:lineRule="auto"/>
              <w:rPr>
                <w:rFonts w:eastAsia="Times New Roman"/>
                <w:w w:val="100"/>
                <w:kern w:val="0"/>
                <w:sz w:val="19"/>
                <w:szCs w:val="19"/>
              </w:rPr>
            </w:pPr>
            <w:r w:rsidRPr="00DB2B77">
              <w:rPr>
                <w:rFonts w:eastAsia="Times New Roman"/>
                <w:w w:val="100"/>
                <w:kern w:val="0"/>
                <w:sz w:val="19"/>
                <w:szCs w:val="19"/>
              </w:rPr>
              <w:t>If a person makes a disclosure that qualifies for protection</w:t>
            </w:r>
            <w:r w:rsidRPr="00DB2B77">
              <w:rPr>
                <w:rFonts w:eastAsia="Times New Roman"/>
                <w:b/>
                <w:w w:val="100"/>
                <w:kern w:val="0"/>
                <w:sz w:val="19"/>
                <w:szCs w:val="19"/>
              </w:rPr>
              <w:t xml:space="preserve"> </w:t>
            </w:r>
            <w:r w:rsidRPr="00DB2B77">
              <w:rPr>
                <w:rFonts w:eastAsia="Times New Roman"/>
                <w:w w:val="100"/>
                <w:kern w:val="0"/>
                <w:sz w:val="19"/>
                <w:szCs w:val="19"/>
              </w:rPr>
              <w:t>(s 54-5):</w:t>
            </w:r>
          </w:p>
          <w:p w14:paraId="3495D8F0"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the person is not subject to any civil or criminal liability for making the disclosure, and</w:t>
            </w:r>
          </w:p>
          <w:p w14:paraId="73B0510B"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no contractual or other remedy may be enforced, and no contractual or other right may be exercised, against the person on the basis of the disclosure.</w:t>
            </w:r>
          </w:p>
          <w:p w14:paraId="4E21F560"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the person has qualified privilege (being qualified privilege from proceedings for defamation in the absence of malice) in respect of the disclosure; and</w:t>
            </w:r>
          </w:p>
          <w:p w14:paraId="07CF50C0"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 xml:space="preserve">a contract to which the person is a party may not be terminated on the basis that the disclosure </w:t>
            </w:r>
            <w:r w:rsidRPr="00DB2B77">
              <w:rPr>
                <w:rFonts w:eastAsia="Times New Roman"/>
                <w:w w:val="100"/>
                <w:kern w:val="0"/>
                <w:sz w:val="19"/>
                <w:szCs w:val="19"/>
              </w:rPr>
              <w:lastRenderedPageBreak/>
              <w:t>constitutes a breach of the contract.</w:t>
            </w:r>
          </w:p>
          <w:p w14:paraId="3759864E" w14:textId="77777777" w:rsidR="00030303" w:rsidRPr="00DB2B77" w:rsidRDefault="00030303" w:rsidP="00030303">
            <w:pPr>
              <w:spacing w:after="0" w:line="240" w:lineRule="auto"/>
              <w:contextualSpacing/>
              <w:rPr>
                <w:rFonts w:eastAsia="Times New Roman"/>
                <w:w w:val="100"/>
                <w:kern w:val="0"/>
                <w:sz w:val="19"/>
                <w:szCs w:val="19"/>
              </w:rPr>
            </w:pPr>
          </w:p>
          <w:p w14:paraId="00822CCA" w14:textId="77777777" w:rsidR="00030303" w:rsidRPr="00DB2B77" w:rsidRDefault="00030303" w:rsidP="00030303">
            <w:pPr>
              <w:spacing w:after="0" w:line="240" w:lineRule="auto"/>
              <w:rPr>
                <w:rFonts w:eastAsia="Times New Roman"/>
                <w:w w:val="100"/>
                <w:kern w:val="0"/>
                <w:sz w:val="19"/>
                <w:szCs w:val="19"/>
              </w:rPr>
            </w:pPr>
            <w:r w:rsidRPr="00DB2B77">
              <w:rPr>
                <w:rFonts w:eastAsia="Times New Roman"/>
                <w:w w:val="100"/>
                <w:kern w:val="0"/>
                <w:sz w:val="19"/>
                <w:szCs w:val="19"/>
              </w:rPr>
              <w:t>Note: malice includes ill will to the person concerned or any other improper motive: s 54-5(4).</w:t>
            </w:r>
          </w:p>
        </w:tc>
        <w:tc>
          <w:tcPr>
            <w:tcW w:w="0" w:type="auto"/>
            <w:vAlign w:val="top"/>
          </w:tcPr>
          <w:p w14:paraId="1CFCFBAE" w14:textId="77777777" w:rsidR="00030303" w:rsidRPr="00DB2B77" w:rsidRDefault="00030303" w:rsidP="00030303">
            <w:pPr>
              <w:spacing w:after="0" w:line="240" w:lineRule="auto"/>
              <w:rPr>
                <w:rFonts w:eastAsia="Times New Roman"/>
                <w:w w:val="100"/>
                <w:kern w:val="0"/>
                <w:sz w:val="19"/>
                <w:szCs w:val="19"/>
              </w:rPr>
            </w:pPr>
            <w:r w:rsidRPr="00DB2B77">
              <w:rPr>
                <w:rFonts w:eastAsia="Times New Roman"/>
                <w:w w:val="100"/>
                <w:kern w:val="0"/>
                <w:sz w:val="19"/>
                <w:szCs w:val="19"/>
              </w:rPr>
              <w:lastRenderedPageBreak/>
              <w:t>If a person makes a disclosure that qualifies for protection (s 1317AB):</w:t>
            </w:r>
          </w:p>
          <w:p w14:paraId="305001D4"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the person is not subject to any civil, criminal or administrative liability (including disciplinary action) for making the disclosure, and</w:t>
            </w:r>
          </w:p>
          <w:p w14:paraId="0862E92A"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no contractual or other remedy may be enforced, and no contractual or other right may be exercised, against the person on the basis of the disclosure.</w:t>
            </w:r>
          </w:p>
          <w:p w14:paraId="5597A27F"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the person has qualified privilege (being qualified privilege from proceedings for defamation in the absence of malice) in respect of the disclosure; and</w:t>
            </w:r>
          </w:p>
          <w:p w14:paraId="3541C71B" w14:textId="77777777" w:rsidR="00030303" w:rsidRPr="00DB2B77" w:rsidRDefault="00030303" w:rsidP="00030303">
            <w:pPr>
              <w:numPr>
                <w:ilvl w:val="0"/>
                <w:numId w:val="11"/>
              </w:numPr>
              <w:spacing w:after="0" w:line="240" w:lineRule="auto"/>
              <w:contextualSpacing/>
              <w:rPr>
                <w:rFonts w:eastAsia="Times New Roman"/>
                <w:b/>
                <w:w w:val="100"/>
                <w:kern w:val="0"/>
                <w:sz w:val="19"/>
                <w:szCs w:val="19"/>
              </w:rPr>
            </w:pPr>
            <w:r w:rsidRPr="00DB2B77">
              <w:rPr>
                <w:rFonts w:eastAsia="Times New Roman"/>
                <w:w w:val="100"/>
                <w:kern w:val="0"/>
                <w:sz w:val="19"/>
                <w:szCs w:val="19"/>
              </w:rPr>
              <w:t>a contract to which the person is a party may not be terminated on the basis that the disclosure constitutes a breach of the contract.</w:t>
            </w:r>
          </w:p>
        </w:tc>
        <w:tc>
          <w:tcPr>
            <w:tcW w:w="0" w:type="auto"/>
            <w:vAlign w:val="top"/>
          </w:tcPr>
          <w:p w14:paraId="37801440" w14:textId="77777777" w:rsidR="00030303" w:rsidRPr="00DB2B77" w:rsidRDefault="00030303" w:rsidP="00030303">
            <w:pPr>
              <w:spacing w:after="0" w:line="240" w:lineRule="auto"/>
              <w:rPr>
                <w:rFonts w:eastAsia="Times New Roman"/>
                <w:w w:val="100"/>
                <w:kern w:val="0"/>
                <w:sz w:val="19"/>
                <w:szCs w:val="19"/>
              </w:rPr>
            </w:pPr>
            <w:r w:rsidRPr="00DB2B77">
              <w:rPr>
                <w:rFonts w:eastAsia="Times New Roman"/>
                <w:w w:val="100"/>
                <w:kern w:val="0"/>
                <w:sz w:val="19"/>
                <w:szCs w:val="19"/>
              </w:rPr>
              <w:t>If a person makes a disclosure that qualifies for protection (</w:t>
            </w:r>
            <w:proofErr w:type="gramStart"/>
            <w:r w:rsidRPr="00DB2B77">
              <w:rPr>
                <w:rFonts w:eastAsia="Times New Roman"/>
                <w:w w:val="100"/>
                <w:kern w:val="0"/>
                <w:sz w:val="19"/>
                <w:szCs w:val="19"/>
              </w:rPr>
              <w:t>s  337</w:t>
            </w:r>
            <w:proofErr w:type="gramEnd"/>
            <w:r w:rsidRPr="00DB2B77">
              <w:rPr>
                <w:rFonts w:eastAsia="Times New Roman"/>
                <w:w w:val="100"/>
                <w:kern w:val="0"/>
                <w:sz w:val="19"/>
                <w:szCs w:val="19"/>
              </w:rPr>
              <w:t>B):</w:t>
            </w:r>
          </w:p>
          <w:p w14:paraId="4795B2FE"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the person is not subject to any civil or criminal liability for making the disclosure, and</w:t>
            </w:r>
          </w:p>
          <w:p w14:paraId="550088A6"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no contractual or other remedy may be enforced, and no contractual or other right may be exercised, against the person on the basis of the disclosure.</w:t>
            </w:r>
          </w:p>
          <w:p w14:paraId="108721FF"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the person has qualified privilege (being qualified privilege from proceedings for defamation in the absence of malice) in respect of the disclosure; and</w:t>
            </w:r>
          </w:p>
          <w:p w14:paraId="2B2FF760" w14:textId="77777777" w:rsidR="00030303" w:rsidRPr="00DB2B77" w:rsidRDefault="00030303" w:rsidP="00030303">
            <w:pPr>
              <w:spacing w:after="0" w:line="240" w:lineRule="auto"/>
              <w:rPr>
                <w:rFonts w:eastAsia="Times New Roman"/>
                <w:w w:val="100"/>
                <w:kern w:val="0"/>
                <w:sz w:val="19"/>
                <w:szCs w:val="19"/>
              </w:rPr>
            </w:pPr>
            <w:r w:rsidRPr="00DB2B77">
              <w:rPr>
                <w:rFonts w:eastAsia="Times New Roman"/>
                <w:w w:val="100"/>
                <w:kern w:val="0"/>
                <w:sz w:val="19"/>
                <w:szCs w:val="19"/>
              </w:rPr>
              <w:t>a contract to which the person is a party may not be terminated on the basis that the disclosure constitutes a breach of the contract.</w:t>
            </w:r>
          </w:p>
        </w:tc>
        <w:tc>
          <w:tcPr>
            <w:tcW w:w="0" w:type="auto"/>
            <w:vAlign w:val="top"/>
          </w:tcPr>
          <w:p w14:paraId="6A31D924" w14:textId="77777777" w:rsidR="00030303" w:rsidRPr="00DB2B77" w:rsidRDefault="00030303" w:rsidP="00030303">
            <w:pPr>
              <w:spacing w:after="0" w:line="240" w:lineRule="auto"/>
              <w:rPr>
                <w:rFonts w:eastAsia="Times New Roman"/>
                <w:w w:val="100"/>
                <w:kern w:val="0"/>
                <w:sz w:val="19"/>
                <w:szCs w:val="19"/>
              </w:rPr>
            </w:pPr>
            <w:r w:rsidRPr="00DB2B77">
              <w:rPr>
                <w:rFonts w:eastAsia="Times New Roman"/>
                <w:w w:val="100"/>
                <w:kern w:val="0"/>
                <w:sz w:val="19"/>
                <w:szCs w:val="19"/>
              </w:rPr>
              <w:t>If a person makes a disclosure that qualifies for protection under this Part (s 14</w:t>
            </w:r>
            <w:proofErr w:type="gramStart"/>
            <w:r w:rsidRPr="00DB2B77">
              <w:rPr>
                <w:rFonts w:eastAsia="Times New Roman"/>
                <w:w w:val="100"/>
                <w:kern w:val="0"/>
                <w:sz w:val="19"/>
                <w:szCs w:val="19"/>
              </w:rPr>
              <w:t>ZZX(</w:t>
            </w:r>
            <w:proofErr w:type="gramEnd"/>
            <w:r w:rsidRPr="00DB2B77">
              <w:rPr>
                <w:rFonts w:eastAsia="Times New Roman"/>
                <w:w w:val="100"/>
                <w:kern w:val="0"/>
                <w:sz w:val="19"/>
                <w:szCs w:val="19"/>
              </w:rPr>
              <w:t>1)):</w:t>
            </w:r>
          </w:p>
          <w:p w14:paraId="15642DEC"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the person is not subject to any civil, criminal or administrative liability (including disciplinary action) for making the disclosure; and</w:t>
            </w:r>
          </w:p>
          <w:p w14:paraId="3F42632B"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no contractual or other remedy may be enforced, and no contractual or other right may be exercised, against the person on the basis of the disclosure; and</w:t>
            </w:r>
          </w:p>
          <w:p w14:paraId="70E33771"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 xml:space="preserve">if the disclosure was a disclosure of information to the Commissioner—the information is not admissible in evidence against the person in criminal proceedings or in proceedings for the imposition of a penalty, other than proceedings in </w:t>
            </w:r>
            <w:r w:rsidRPr="00DB2B77">
              <w:rPr>
                <w:rFonts w:eastAsia="Times New Roman"/>
                <w:w w:val="100"/>
                <w:kern w:val="0"/>
                <w:sz w:val="19"/>
                <w:szCs w:val="19"/>
              </w:rPr>
              <w:lastRenderedPageBreak/>
              <w:t>respect of the falsity of the information.</w:t>
            </w:r>
          </w:p>
          <w:p w14:paraId="57D2ED8C" w14:textId="77777777" w:rsidR="00030303" w:rsidRPr="00DB2B77" w:rsidRDefault="00030303" w:rsidP="00030303">
            <w:pPr>
              <w:spacing w:after="0" w:line="240" w:lineRule="auto"/>
              <w:rPr>
                <w:rFonts w:eastAsia="Times New Roman"/>
                <w:w w:val="100"/>
                <w:kern w:val="0"/>
                <w:sz w:val="19"/>
                <w:szCs w:val="19"/>
              </w:rPr>
            </w:pPr>
          </w:p>
          <w:p w14:paraId="51F00BAB" w14:textId="77777777" w:rsidR="00030303" w:rsidRPr="00DB2B77" w:rsidRDefault="00030303" w:rsidP="00030303">
            <w:pPr>
              <w:spacing w:after="0" w:line="240" w:lineRule="auto"/>
              <w:rPr>
                <w:rFonts w:eastAsia="Times New Roman"/>
                <w:w w:val="100"/>
                <w:kern w:val="0"/>
                <w:sz w:val="19"/>
                <w:szCs w:val="19"/>
              </w:rPr>
            </w:pPr>
            <w:r w:rsidRPr="00DB2B77">
              <w:rPr>
                <w:rFonts w:eastAsia="Times New Roman"/>
                <w:w w:val="100"/>
                <w:kern w:val="0"/>
                <w:sz w:val="19"/>
                <w:szCs w:val="19"/>
              </w:rPr>
              <w:t>The person has qualified privilege in respect of the disclosure; and a contract to which the person is a party may not be terminated on the basis that the disclosure constitutes a breach of the contract (s 14</w:t>
            </w:r>
            <w:proofErr w:type="gramStart"/>
            <w:r w:rsidRPr="00DB2B77">
              <w:rPr>
                <w:rFonts w:eastAsia="Times New Roman"/>
                <w:w w:val="100"/>
                <w:kern w:val="0"/>
                <w:sz w:val="19"/>
                <w:szCs w:val="19"/>
              </w:rPr>
              <w:t>ZZX(</w:t>
            </w:r>
            <w:proofErr w:type="gramEnd"/>
            <w:r w:rsidRPr="00DB2B77">
              <w:rPr>
                <w:rFonts w:eastAsia="Times New Roman"/>
                <w:w w:val="100"/>
                <w:kern w:val="0"/>
                <w:sz w:val="19"/>
                <w:szCs w:val="19"/>
              </w:rPr>
              <w:t>2)).</w:t>
            </w:r>
          </w:p>
          <w:p w14:paraId="00FC89F9" w14:textId="77777777" w:rsidR="00030303" w:rsidRPr="00DB2B77" w:rsidRDefault="00030303" w:rsidP="00030303">
            <w:pPr>
              <w:spacing w:after="0" w:line="240" w:lineRule="auto"/>
              <w:rPr>
                <w:rFonts w:eastAsia="Times New Roman"/>
                <w:w w:val="100"/>
                <w:kern w:val="0"/>
                <w:sz w:val="19"/>
                <w:szCs w:val="19"/>
              </w:rPr>
            </w:pPr>
          </w:p>
        </w:tc>
      </w:tr>
      <w:tr w:rsidR="00030303" w:rsidRPr="00DB2B77" w14:paraId="60FA45C0" w14:textId="77777777" w:rsidTr="00030303">
        <w:tc>
          <w:tcPr>
            <w:tcW w:w="0" w:type="auto"/>
            <w:vAlign w:val="top"/>
            <w:hideMark/>
          </w:tcPr>
          <w:p w14:paraId="57570934" w14:textId="77777777" w:rsidR="00030303" w:rsidRPr="00DB2B77" w:rsidRDefault="00030303" w:rsidP="00030303">
            <w:pPr>
              <w:spacing w:after="0" w:line="240" w:lineRule="auto"/>
              <w:rPr>
                <w:rFonts w:eastAsia="Times New Roman"/>
                <w:b/>
                <w:w w:val="100"/>
                <w:kern w:val="0"/>
                <w:sz w:val="19"/>
                <w:szCs w:val="19"/>
              </w:rPr>
            </w:pPr>
            <w:r w:rsidRPr="00DB2B77">
              <w:rPr>
                <w:rFonts w:eastAsia="Times New Roman"/>
                <w:b/>
                <w:w w:val="100"/>
                <w:kern w:val="0"/>
                <w:sz w:val="19"/>
                <w:szCs w:val="19"/>
              </w:rPr>
              <w:lastRenderedPageBreak/>
              <w:t>Victimisation and reprisals prohibited</w:t>
            </w:r>
          </w:p>
        </w:tc>
        <w:tc>
          <w:tcPr>
            <w:tcW w:w="0" w:type="auto"/>
            <w:vAlign w:val="top"/>
          </w:tcPr>
          <w:p w14:paraId="4108F1F9" w14:textId="77777777" w:rsidR="00030303" w:rsidRPr="00DB2B77" w:rsidRDefault="00030303" w:rsidP="00030303">
            <w:pPr>
              <w:spacing w:after="0" w:line="240" w:lineRule="auto"/>
              <w:rPr>
                <w:rFonts w:eastAsia="Times New Roman"/>
                <w:w w:val="100"/>
                <w:kern w:val="0"/>
                <w:sz w:val="19"/>
                <w:szCs w:val="19"/>
              </w:rPr>
            </w:pPr>
            <w:r w:rsidRPr="00DB2B77">
              <w:rPr>
                <w:rFonts w:eastAsia="Times New Roman"/>
                <w:w w:val="100"/>
                <w:kern w:val="0"/>
                <w:sz w:val="19"/>
                <w:szCs w:val="19"/>
              </w:rPr>
              <w:t>A person (the first person) takes a reprisal against another person (the second person) if (s 13(1)):</w:t>
            </w:r>
          </w:p>
          <w:p w14:paraId="0F37AE62"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the first person causes (by act or omission) any detriment to the second person; and</w:t>
            </w:r>
          </w:p>
          <w:p w14:paraId="66299FAB"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when the act or omission occurs, the first person believes or suspects that the second person or any other person made, may have made or proposes to make a public interest disclosure; and</w:t>
            </w:r>
          </w:p>
          <w:p w14:paraId="65DF5A8E"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lastRenderedPageBreak/>
              <w:t>that belief or suspicion is the reason, or part of the reason, for the act or omission.</w:t>
            </w:r>
          </w:p>
          <w:p w14:paraId="44A1E7F5" w14:textId="77777777" w:rsidR="00030303" w:rsidRPr="00DB2B77" w:rsidRDefault="00030303" w:rsidP="00030303">
            <w:pPr>
              <w:shd w:val="clear" w:color="auto" w:fill="FFFFFF"/>
              <w:spacing w:before="180" w:after="0" w:line="240" w:lineRule="auto"/>
              <w:rPr>
                <w:rFonts w:eastAsia="Times New Roman"/>
                <w:w w:val="100"/>
                <w:kern w:val="0"/>
                <w:sz w:val="19"/>
                <w:szCs w:val="19"/>
              </w:rPr>
            </w:pPr>
            <w:r w:rsidRPr="00DB2B77">
              <w:rPr>
                <w:rFonts w:eastAsia="Times New Roman"/>
                <w:w w:val="100"/>
                <w:kern w:val="0"/>
                <w:sz w:val="19"/>
                <w:szCs w:val="19"/>
              </w:rPr>
              <w:t>A person does not take a reprisal against another person to the extent that the person takes administrative action that is reasonable to protect the other person from detriment (s 13(3)).</w:t>
            </w:r>
          </w:p>
        </w:tc>
        <w:tc>
          <w:tcPr>
            <w:tcW w:w="0" w:type="auto"/>
            <w:vAlign w:val="top"/>
          </w:tcPr>
          <w:p w14:paraId="124C6AD6" w14:textId="77777777" w:rsidR="00030303" w:rsidRPr="00DB2B77" w:rsidRDefault="00030303" w:rsidP="00030303">
            <w:pPr>
              <w:spacing w:after="0" w:line="240" w:lineRule="auto"/>
              <w:rPr>
                <w:rFonts w:eastAsia="Times New Roman"/>
                <w:w w:val="100"/>
                <w:kern w:val="0"/>
                <w:sz w:val="19"/>
                <w:szCs w:val="19"/>
              </w:rPr>
            </w:pPr>
            <w:r w:rsidRPr="00DB2B77">
              <w:rPr>
                <w:rFonts w:eastAsia="Times New Roman"/>
                <w:w w:val="100"/>
                <w:kern w:val="0"/>
                <w:sz w:val="19"/>
                <w:szCs w:val="19"/>
              </w:rPr>
              <w:lastRenderedPageBreak/>
              <w:t>See s73ZC below.</w:t>
            </w:r>
          </w:p>
        </w:tc>
        <w:tc>
          <w:tcPr>
            <w:tcW w:w="0" w:type="auto"/>
            <w:vAlign w:val="top"/>
          </w:tcPr>
          <w:p w14:paraId="18AB5C80" w14:textId="77777777" w:rsidR="00030303" w:rsidRPr="00DB2B77" w:rsidRDefault="00030303" w:rsidP="00030303">
            <w:pPr>
              <w:spacing w:after="0" w:line="240" w:lineRule="auto"/>
              <w:rPr>
                <w:rFonts w:eastAsia="Times New Roman"/>
                <w:w w:val="100"/>
                <w:kern w:val="0"/>
                <w:sz w:val="19"/>
                <w:szCs w:val="19"/>
              </w:rPr>
            </w:pPr>
            <w:r w:rsidRPr="00DB2B77">
              <w:rPr>
                <w:rFonts w:eastAsia="Times New Roman"/>
                <w:w w:val="100"/>
                <w:kern w:val="0"/>
                <w:sz w:val="19"/>
                <w:szCs w:val="19"/>
              </w:rPr>
              <w:t>See s 54-6 below.</w:t>
            </w:r>
          </w:p>
          <w:p w14:paraId="01085C4B" w14:textId="77777777" w:rsidR="00030303" w:rsidRPr="00DB2B77" w:rsidRDefault="00030303" w:rsidP="00030303">
            <w:pPr>
              <w:spacing w:after="0" w:line="240" w:lineRule="auto"/>
              <w:rPr>
                <w:rFonts w:eastAsia="Times New Roman"/>
                <w:w w:val="100"/>
                <w:kern w:val="0"/>
                <w:sz w:val="19"/>
                <w:szCs w:val="19"/>
              </w:rPr>
            </w:pPr>
          </w:p>
          <w:p w14:paraId="38C948CB" w14:textId="77777777" w:rsidR="00030303" w:rsidRPr="00DB2B77" w:rsidRDefault="00030303" w:rsidP="00030303">
            <w:pPr>
              <w:spacing w:after="0" w:line="240" w:lineRule="auto"/>
              <w:rPr>
                <w:rFonts w:eastAsia="Times New Roman"/>
                <w:i/>
                <w:w w:val="100"/>
                <w:kern w:val="0"/>
                <w:sz w:val="19"/>
                <w:szCs w:val="19"/>
              </w:rPr>
            </w:pPr>
            <w:r w:rsidRPr="00DB2B77">
              <w:rPr>
                <w:rFonts w:eastAsia="Times New Roman"/>
                <w:i/>
                <w:w w:val="100"/>
                <w:kern w:val="0"/>
                <w:sz w:val="19"/>
                <w:szCs w:val="19"/>
              </w:rPr>
              <w:t>Ensuring staff member informants are not victimised</w:t>
            </w:r>
          </w:p>
          <w:p w14:paraId="1CFA5948" w14:textId="77777777" w:rsidR="00030303" w:rsidRPr="00DB2B77" w:rsidRDefault="00030303" w:rsidP="00030303">
            <w:pPr>
              <w:spacing w:after="0" w:line="240" w:lineRule="auto"/>
              <w:rPr>
                <w:rFonts w:eastAsia="Times New Roman"/>
                <w:w w:val="100"/>
                <w:kern w:val="0"/>
                <w:sz w:val="19"/>
                <w:szCs w:val="19"/>
              </w:rPr>
            </w:pPr>
          </w:p>
          <w:p w14:paraId="4B3FF3AD" w14:textId="77777777" w:rsidR="00030303" w:rsidRPr="00DB2B77" w:rsidRDefault="00030303" w:rsidP="00030303">
            <w:pPr>
              <w:spacing w:after="0" w:line="240" w:lineRule="auto"/>
              <w:rPr>
                <w:rFonts w:eastAsia="Times New Roman"/>
                <w:b/>
                <w:w w:val="100"/>
                <w:kern w:val="0"/>
                <w:sz w:val="19"/>
                <w:szCs w:val="19"/>
              </w:rPr>
            </w:pPr>
            <w:r w:rsidRPr="00DB2B77">
              <w:rPr>
                <w:rFonts w:eastAsia="Times New Roman"/>
                <w:w w:val="100"/>
                <w:kern w:val="0"/>
                <w:sz w:val="19"/>
                <w:szCs w:val="19"/>
              </w:rPr>
              <w:t>An approved provider is responsible for ensuring, as far as reasonably practicable, compliance with paragraphs 54</w:t>
            </w:r>
            <w:r w:rsidRPr="00DB2B77">
              <w:rPr>
                <w:rFonts w:ascii="Cambria Math" w:eastAsia="Times New Roman" w:hAnsi="Cambria Math" w:cs="Cambria Math"/>
                <w:w w:val="100"/>
                <w:kern w:val="0"/>
                <w:sz w:val="19"/>
                <w:szCs w:val="19"/>
              </w:rPr>
              <w:t>‑</w:t>
            </w:r>
            <w:r w:rsidRPr="00DB2B77">
              <w:rPr>
                <w:rFonts w:eastAsia="Times New Roman"/>
                <w:w w:val="100"/>
                <w:kern w:val="0"/>
                <w:sz w:val="19"/>
                <w:szCs w:val="19"/>
              </w:rPr>
              <w:t>5(1)(b) and (2)(b) and subsections 54</w:t>
            </w:r>
            <w:r w:rsidRPr="00DB2B77">
              <w:rPr>
                <w:rFonts w:ascii="Cambria Math" w:eastAsia="Times New Roman" w:hAnsi="Cambria Math" w:cs="Cambria Math"/>
                <w:w w:val="100"/>
                <w:kern w:val="0"/>
                <w:sz w:val="19"/>
                <w:szCs w:val="19"/>
              </w:rPr>
              <w:t>‑</w:t>
            </w:r>
            <w:r w:rsidRPr="00DB2B77">
              <w:rPr>
                <w:rFonts w:eastAsia="Times New Roman"/>
                <w:w w:val="100"/>
                <w:kern w:val="0"/>
                <w:sz w:val="19"/>
                <w:szCs w:val="19"/>
              </w:rPr>
              <w:t>6(1) and (2) in relation to a person who (s 54</w:t>
            </w:r>
            <w:r w:rsidRPr="00DB2B77">
              <w:rPr>
                <w:rFonts w:eastAsia="Times New Roman"/>
                <w:w w:val="100"/>
                <w:kern w:val="0"/>
                <w:sz w:val="19"/>
                <w:szCs w:val="19"/>
              </w:rPr>
              <w:noBreakHyphen/>
              <w:t>8(1)):</w:t>
            </w:r>
          </w:p>
          <w:p w14:paraId="6F74097D" w14:textId="77777777" w:rsidR="00030303" w:rsidRPr="00DB2B77" w:rsidRDefault="00030303" w:rsidP="00030303">
            <w:pPr>
              <w:spacing w:after="0" w:line="240" w:lineRule="auto"/>
              <w:rPr>
                <w:rFonts w:eastAsia="Times New Roman"/>
                <w:w w:val="100"/>
                <w:kern w:val="0"/>
                <w:sz w:val="19"/>
                <w:szCs w:val="19"/>
              </w:rPr>
            </w:pPr>
          </w:p>
          <w:p w14:paraId="519CF1DA" w14:textId="77777777" w:rsidR="00030303" w:rsidRPr="00DB2B77" w:rsidRDefault="00030303" w:rsidP="00030303">
            <w:pPr>
              <w:numPr>
                <w:ilvl w:val="0"/>
                <w:numId w:val="11"/>
              </w:numPr>
              <w:spacing w:after="0" w:line="240" w:lineRule="auto"/>
              <w:rPr>
                <w:rFonts w:eastAsia="Times New Roman"/>
                <w:w w:val="100"/>
                <w:kern w:val="0"/>
                <w:sz w:val="19"/>
                <w:szCs w:val="19"/>
              </w:rPr>
            </w:pPr>
            <w:r w:rsidRPr="00DB2B77">
              <w:rPr>
                <w:rFonts w:eastAsia="Times New Roman"/>
                <w:w w:val="100"/>
                <w:kern w:val="0"/>
                <w:sz w:val="19"/>
                <w:szCs w:val="19"/>
              </w:rPr>
              <w:lastRenderedPageBreak/>
              <w:t>is a staff member of the approved provider; and</w:t>
            </w:r>
          </w:p>
          <w:p w14:paraId="0CF71256" w14:textId="77777777" w:rsidR="00030303" w:rsidRPr="00DB2B77" w:rsidRDefault="00030303" w:rsidP="00030303">
            <w:pPr>
              <w:spacing w:after="0" w:line="240" w:lineRule="auto"/>
              <w:rPr>
                <w:rFonts w:eastAsia="Times New Roman"/>
                <w:w w:val="100"/>
                <w:kern w:val="0"/>
                <w:sz w:val="19"/>
                <w:szCs w:val="19"/>
              </w:rPr>
            </w:pPr>
          </w:p>
          <w:p w14:paraId="7D87346C" w14:textId="77777777" w:rsidR="00030303" w:rsidRPr="00DB2B77" w:rsidRDefault="00030303" w:rsidP="00030303">
            <w:pPr>
              <w:numPr>
                <w:ilvl w:val="0"/>
                <w:numId w:val="11"/>
              </w:numPr>
              <w:spacing w:after="0" w:line="240" w:lineRule="auto"/>
              <w:rPr>
                <w:rFonts w:eastAsia="Times New Roman"/>
                <w:w w:val="100"/>
                <w:kern w:val="0"/>
                <w:sz w:val="19"/>
                <w:szCs w:val="19"/>
              </w:rPr>
            </w:pPr>
            <w:r w:rsidRPr="00DB2B77">
              <w:rPr>
                <w:rFonts w:eastAsia="Times New Roman"/>
                <w:w w:val="100"/>
                <w:kern w:val="0"/>
                <w:sz w:val="19"/>
                <w:szCs w:val="19"/>
              </w:rPr>
              <w:t>makes a disclosure that qualifies for protection under section 54</w:t>
            </w:r>
            <w:r w:rsidRPr="00DB2B77">
              <w:rPr>
                <w:rFonts w:ascii="Cambria Math" w:eastAsia="Times New Roman" w:hAnsi="Cambria Math" w:cs="Cambria Math"/>
                <w:w w:val="100"/>
                <w:kern w:val="0"/>
                <w:sz w:val="19"/>
                <w:szCs w:val="19"/>
              </w:rPr>
              <w:t>‑</w:t>
            </w:r>
            <w:r w:rsidRPr="00DB2B77">
              <w:rPr>
                <w:rFonts w:eastAsia="Times New Roman"/>
                <w:w w:val="100"/>
                <w:kern w:val="0"/>
                <w:sz w:val="19"/>
                <w:szCs w:val="19"/>
              </w:rPr>
              <w:t>4.</w:t>
            </w:r>
          </w:p>
          <w:p w14:paraId="46F30281" w14:textId="77777777" w:rsidR="00030303" w:rsidRPr="00DB2B77" w:rsidRDefault="00030303" w:rsidP="00030303">
            <w:pPr>
              <w:spacing w:after="0" w:line="240" w:lineRule="auto"/>
              <w:rPr>
                <w:rFonts w:eastAsia="Times New Roman"/>
                <w:w w:val="100"/>
                <w:kern w:val="0"/>
                <w:sz w:val="19"/>
                <w:szCs w:val="19"/>
              </w:rPr>
            </w:pPr>
          </w:p>
          <w:p w14:paraId="73B3DEA9" w14:textId="77777777" w:rsidR="00030303" w:rsidRPr="00DB2B77" w:rsidRDefault="00030303" w:rsidP="00030303">
            <w:pPr>
              <w:spacing w:after="0" w:line="240" w:lineRule="auto"/>
              <w:rPr>
                <w:rFonts w:eastAsia="Times New Roman"/>
                <w:w w:val="100"/>
                <w:kern w:val="0"/>
                <w:sz w:val="19"/>
                <w:szCs w:val="19"/>
              </w:rPr>
            </w:pPr>
            <w:r w:rsidRPr="00DB2B77">
              <w:rPr>
                <w:rFonts w:eastAsia="Times New Roman"/>
                <w:w w:val="100"/>
                <w:kern w:val="0"/>
                <w:sz w:val="19"/>
                <w:szCs w:val="19"/>
              </w:rPr>
              <w:t>Note: This responsibility covers not only compliance by the approved provider itself with the relevant provisions of sections 54</w:t>
            </w:r>
            <w:r w:rsidRPr="00DB2B77">
              <w:rPr>
                <w:rFonts w:ascii="Cambria Math" w:eastAsia="Times New Roman" w:hAnsi="Cambria Math" w:cs="Cambria Math"/>
                <w:w w:val="100"/>
                <w:kern w:val="0"/>
                <w:sz w:val="19"/>
                <w:szCs w:val="19"/>
              </w:rPr>
              <w:t>‑</w:t>
            </w:r>
            <w:r w:rsidRPr="00DB2B77">
              <w:rPr>
                <w:rFonts w:eastAsia="Times New Roman"/>
                <w:w w:val="100"/>
                <w:kern w:val="0"/>
                <w:sz w:val="19"/>
                <w:szCs w:val="19"/>
              </w:rPr>
              <w:t>5 and 54</w:t>
            </w:r>
            <w:r w:rsidRPr="00DB2B77">
              <w:rPr>
                <w:rFonts w:ascii="Cambria Math" w:eastAsia="Times New Roman" w:hAnsi="Cambria Math" w:cs="Cambria Math"/>
                <w:w w:val="100"/>
                <w:kern w:val="0"/>
                <w:sz w:val="19"/>
                <w:szCs w:val="19"/>
              </w:rPr>
              <w:t>‑</w:t>
            </w:r>
            <w:r w:rsidRPr="00DB2B77">
              <w:rPr>
                <w:rFonts w:eastAsia="Times New Roman"/>
                <w:w w:val="100"/>
                <w:kern w:val="0"/>
                <w:sz w:val="19"/>
                <w:szCs w:val="19"/>
              </w:rPr>
              <w:t>6 but extends to the approved provider ensuring as far as reasonably practicable that there is also compliance by others, such as:</w:t>
            </w:r>
          </w:p>
          <w:p w14:paraId="5671E464" w14:textId="77777777" w:rsidR="00030303" w:rsidRPr="00DB2B77" w:rsidRDefault="00030303" w:rsidP="00030303">
            <w:pPr>
              <w:numPr>
                <w:ilvl w:val="0"/>
                <w:numId w:val="11"/>
              </w:numPr>
              <w:spacing w:after="0" w:line="240" w:lineRule="auto"/>
              <w:rPr>
                <w:rFonts w:eastAsia="Times New Roman"/>
                <w:w w:val="100"/>
                <w:kern w:val="0"/>
                <w:sz w:val="19"/>
                <w:szCs w:val="19"/>
              </w:rPr>
            </w:pPr>
            <w:r w:rsidRPr="00DB2B77">
              <w:rPr>
                <w:rFonts w:eastAsia="Times New Roman"/>
                <w:w w:val="100"/>
                <w:kern w:val="0"/>
                <w:sz w:val="19"/>
                <w:szCs w:val="19"/>
              </w:rPr>
              <w:t>other staff members of the approved provider; and</w:t>
            </w:r>
          </w:p>
          <w:p w14:paraId="6A53B8DA" w14:textId="77777777" w:rsidR="00030303" w:rsidRPr="00DB2B77" w:rsidRDefault="00030303" w:rsidP="00030303">
            <w:pPr>
              <w:numPr>
                <w:ilvl w:val="0"/>
                <w:numId w:val="11"/>
              </w:numPr>
              <w:spacing w:after="0" w:line="240" w:lineRule="auto"/>
              <w:rPr>
                <w:rFonts w:eastAsia="Times New Roman"/>
                <w:w w:val="100"/>
                <w:kern w:val="0"/>
                <w:sz w:val="19"/>
                <w:szCs w:val="19"/>
              </w:rPr>
            </w:pPr>
            <w:r w:rsidRPr="00DB2B77">
              <w:rPr>
                <w:rFonts w:eastAsia="Times New Roman"/>
                <w:w w:val="100"/>
                <w:kern w:val="0"/>
                <w:sz w:val="19"/>
                <w:szCs w:val="19"/>
              </w:rPr>
              <w:t>other parties with whom the approved provider contracts (for example, an employment agency).</w:t>
            </w:r>
          </w:p>
        </w:tc>
        <w:tc>
          <w:tcPr>
            <w:tcW w:w="0" w:type="auto"/>
            <w:vAlign w:val="top"/>
          </w:tcPr>
          <w:p w14:paraId="28E76BF2" w14:textId="77777777" w:rsidR="00030303" w:rsidRPr="00DB2B77" w:rsidRDefault="00030303" w:rsidP="00030303">
            <w:pPr>
              <w:spacing w:after="0" w:line="240" w:lineRule="auto"/>
              <w:rPr>
                <w:rFonts w:eastAsia="Times New Roman"/>
                <w:i/>
                <w:w w:val="100"/>
                <w:kern w:val="0"/>
                <w:sz w:val="19"/>
                <w:szCs w:val="19"/>
              </w:rPr>
            </w:pPr>
            <w:proofErr w:type="gramStart"/>
            <w:r w:rsidRPr="00DB2B77">
              <w:rPr>
                <w:rFonts w:eastAsia="Times New Roman"/>
                <w:i/>
                <w:w w:val="100"/>
                <w:kern w:val="0"/>
                <w:sz w:val="19"/>
                <w:szCs w:val="19"/>
              </w:rPr>
              <w:lastRenderedPageBreak/>
              <w:t>Actually</w:t>
            </w:r>
            <w:proofErr w:type="gramEnd"/>
            <w:r w:rsidRPr="00DB2B77">
              <w:rPr>
                <w:rFonts w:eastAsia="Times New Roman"/>
                <w:i/>
                <w:w w:val="100"/>
                <w:kern w:val="0"/>
                <w:sz w:val="19"/>
                <w:szCs w:val="19"/>
              </w:rPr>
              <w:t xml:space="preserve"> causing detriment to another person</w:t>
            </w:r>
          </w:p>
          <w:p w14:paraId="5124FA34" w14:textId="77777777" w:rsidR="00030303" w:rsidRPr="00DB2B77" w:rsidRDefault="00030303" w:rsidP="00030303">
            <w:pPr>
              <w:spacing w:after="0" w:line="240" w:lineRule="auto"/>
              <w:rPr>
                <w:rFonts w:eastAsia="Times New Roman"/>
                <w:i/>
                <w:w w:val="100"/>
                <w:kern w:val="0"/>
                <w:sz w:val="19"/>
                <w:szCs w:val="19"/>
              </w:rPr>
            </w:pPr>
          </w:p>
          <w:p w14:paraId="129F8E2F" w14:textId="77777777" w:rsidR="00030303" w:rsidRPr="00DB2B77" w:rsidRDefault="00030303" w:rsidP="00030303">
            <w:pPr>
              <w:spacing w:after="0" w:line="240" w:lineRule="auto"/>
              <w:rPr>
                <w:rFonts w:eastAsia="Times New Roman"/>
                <w:b/>
                <w:w w:val="100"/>
                <w:kern w:val="0"/>
                <w:sz w:val="19"/>
                <w:szCs w:val="19"/>
              </w:rPr>
            </w:pPr>
            <w:r w:rsidRPr="00DB2B77">
              <w:rPr>
                <w:rFonts w:eastAsia="Times New Roman"/>
                <w:w w:val="100"/>
                <w:kern w:val="0"/>
                <w:sz w:val="19"/>
                <w:szCs w:val="19"/>
              </w:rPr>
              <w:t>A person (the first person) contravenes this subsection if (s 1317</w:t>
            </w:r>
            <w:proofErr w:type="gramStart"/>
            <w:r w:rsidRPr="00DB2B77">
              <w:rPr>
                <w:rFonts w:eastAsia="Times New Roman"/>
                <w:w w:val="100"/>
                <w:kern w:val="0"/>
                <w:sz w:val="19"/>
                <w:szCs w:val="19"/>
              </w:rPr>
              <w:t>AC(</w:t>
            </w:r>
            <w:proofErr w:type="gramEnd"/>
            <w:r w:rsidRPr="00DB2B77">
              <w:rPr>
                <w:rFonts w:eastAsia="Times New Roman"/>
                <w:w w:val="100"/>
                <w:kern w:val="0"/>
                <w:sz w:val="19"/>
                <w:szCs w:val="19"/>
              </w:rPr>
              <w:t>1)):</w:t>
            </w:r>
          </w:p>
          <w:p w14:paraId="0E1E6D21"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the first person engages in conduct; and</w:t>
            </w:r>
          </w:p>
          <w:p w14:paraId="404D4C7A"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the first person’s conduct causes any detriment to another person (the second person); and</w:t>
            </w:r>
          </w:p>
          <w:p w14:paraId="707BB4B7"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 xml:space="preserve">when the first person engages in the conduct, the first person believes or suspects that the second person or any other person made, may have made, proposes to make or could make a </w:t>
            </w:r>
            <w:r w:rsidRPr="00DB2B77">
              <w:rPr>
                <w:rFonts w:eastAsia="Times New Roman"/>
                <w:w w:val="100"/>
                <w:kern w:val="0"/>
                <w:sz w:val="19"/>
                <w:szCs w:val="19"/>
              </w:rPr>
              <w:lastRenderedPageBreak/>
              <w:t>disclosure that qualifies for protection under this Part; and</w:t>
            </w:r>
          </w:p>
          <w:p w14:paraId="54D0CCDC"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the belief or suspicion referred to in paragraph (c) is the reason, or part of the reason, for the conduct.</w:t>
            </w:r>
          </w:p>
          <w:p w14:paraId="695001D7" w14:textId="77777777" w:rsidR="00030303" w:rsidRPr="00DB2B77" w:rsidRDefault="00030303" w:rsidP="00030303">
            <w:pPr>
              <w:spacing w:after="0" w:line="240" w:lineRule="auto"/>
              <w:rPr>
                <w:rFonts w:eastAsia="Times New Roman"/>
                <w:w w:val="100"/>
                <w:kern w:val="0"/>
                <w:sz w:val="19"/>
                <w:szCs w:val="19"/>
              </w:rPr>
            </w:pPr>
          </w:p>
          <w:p w14:paraId="3D6380DA" w14:textId="77777777" w:rsidR="00030303" w:rsidRPr="00DB2B77" w:rsidRDefault="00030303" w:rsidP="00030303">
            <w:pPr>
              <w:spacing w:after="0" w:line="240" w:lineRule="auto"/>
              <w:rPr>
                <w:rFonts w:eastAsia="Times New Roman"/>
                <w:w w:val="100"/>
                <w:kern w:val="0"/>
                <w:sz w:val="19"/>
                <w:szCs w:val="19"/>
              </w:rPr>
            </w:pPr>
            <w:r w:rsidRPr="00DB2B77">
              <w:rPr>
                <w:rFonts w:eastAsia="Times New Roman"/>
                <w:w w:val="100"/>
                <w:kern w:val="0"/>
                <w:sz w:val="19"/>
                <w:szCs w:val="19"/>
              </w:rPr>
              <w:t>Note: it is also an offence to threaten to cause detriment to another person: s1317</w:t>
            </w:r>
            <w:proofErr w:type="gramStart"/>
            <w:r w:rsidRPr="00DB2B77">
              <w:rPr>
                <w:rFonts w:eastAsia="Times New Roman"/>
                <w:w w:val="100"/>
                <w:kern w:val="0"/>
                <w:sz w:val="19"/>
                <w:szCs w:val="19"/>
              </w:rPr>
              <w:t>AC(</w:t>
            </w:r>
            <w:proofErr w:type="gramEnd"/>
            <w:r w:rsidRPr="00DB2B77">
              <w:rPr>
                <w:rFonts w:eastAsia="Times New Roman"/>
                <w:w w:val="100"/>
                <w:kern w:val="0"/>
                <w:sz w:val="19"/>
                <w:szCs w:val="19"/>
              </w:rPr>
              <w:t xml:space="preserve">2). </w:t>
            </w:r>
          </w:p>
        </w:tc>
        <w:tc>
          <w:tcPr>
            <w:tcW w:w="0" w:type="auto"/>
            <w:vAlign w:val="top"/>
          </w:tcPr>
          <w:p w14:paraId="2D530CAE" w14:textId="77777777" w:rsidR="00030303" w:rsidRPr="00DB2B77" w:rsidRDefault="00030303" w:rsidP="00030303">
            <w:pPr>
              <w:spacing w:after="0" w:line="240" w:lineRule="auto"/>
              <w:rPr>
                <w:rFonts w:eastAsia="Times New Roman"/>
                <w:w w:val="100"/>
                <w:kern w:val="0"/>
                <w:sz w:val="19"/>
                <w:szCs w:val="19"/>
              </w:rPr>
            </w:pPr>
            <w:r w:rsidRPr="00DB2B77">
              <w:rPr>
                <w:rFonts w:eastAsia="Times New Roman"/>
                <w:w w:val="100"/>
                <w:kern w:val="0"/>
                <w:sz w:val="19"/>
                <w:szCs w:val="19"/>
              </w:rPr>
              <w:lastRenderedPageBreak/>
              <w:t>A person (the first person) takes a reprisal against another person (the second person) if (s 337BA):</w:t>
            </w:r>
          </w:p>
          <w:p w14:paraId="661A2EC0"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the first person causes (by act or omission) any detriment to the second person; and</w:t>
            </w:r>
          </w:p>
          <w:p w14:paraId="158056CA"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when the act or omission occurs, the first person:</w:t>
            </w:r>
          </w:p>
          <w:p w14:paraId="778E5174" w14:textId="77777777" w:rsidR="00030303" w:rsidRPr="00DB2B77" w:rsidRDefault="00030303" w:rsidP="00030303">
            <w:pPr>
              <w:numPr>
                <w:ilvl w:val="1"/>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 xml:space="preserve">believes or suspects that the second person or any other person made, may have made, </w:t>
            </w:r>
            <w:r w:rsidRPr="00DB2B77">
              <w:rPr>
                <w:rFonts w:eastAsia="Times New Roman"/>
                <w:w w:val="100"/>
                <w:kern w:val="0"/>
                <w:sz w:val="19"/>
                <w:szCs w:val="19"/>
              </w:rPr>
              <w:lastRenderedPageBreak/>
              <w:t>proposes to make or could make a disclosure that qualifies for protection; or</w:t>
            </w:r>
          </w:p>
          <w:p w14:paraId="29D7D9AF" w14:textId="77777777" w:rsidR="00030303" w:rsidRPr="00DB2B77" w:rsidRDefault="00030303" w:rsidP="00030303">
            <w:pPr>
              <w:spacing w:after="0" w:line="240" w:lineRule="auto"/>
              <w:rPr>
                <w:rFonts w:eastAsia="Times New Roman"/>
                <w:b/>
                <w:w w:val="100"/>
                <w:kern w:val="0"/>
                <w:sz w:val="19"/>
                <w:szCs w:val="19"/>
              </w:rPr>
            </w:pPr>
            <w:r w:rsidRPr="00DB2B77">
              <w:rPr>
                <w:rFonts w:eastAsia="Times New Roman"/>
                <w:w w:val="100"/>
                <w:kern w:val="0"/>
                <w:sz w:val="19"/>
                <w:szCs w:val="19"/>
              </w:rPr>
              <w:t>should have known that the second person or any other person made, may have made, proposes to make or could make a disclosure that qualifies for protection.</w:t>
            </w:r>
          </w:p>
        </w:tc>
        <w:tc>
          <w:tcPr>
            <w:tcW w:w="0" w:type="auto"/>
            <w:vAlign w:val="top"/>
          </w:tcPr>
          <w:p w14:paraId="58C6E2DE" w14:textId="77777777" w:rsidR="00030303" w:rsidRPr="00DB2B77" w:rsidRDefault="00030303" w:rsidP="00030303">
            <w:pPr>
              <w:spacing w:after="0" w:line="240" w:lineRule="auto"/>
              <w:rPr>
                <w:rFonts w:eastAsia="Times New Roman"/>
                <w:w w:val="100"/>
                <w:kern w:val="0"/>
                <w:sz w:val="19"/>
                <w:szCs w:val="19"/>
              </w:rPr>
            </w:pPr>
            <w:r w:rsidRPr="00DB2B77">
              <w:rPr>
                <w:rFonts w:eastAsia="Times New Roman"/>
                <w:w w:val="100"/>
                <w:kern w:val="0"/>
                <w:sz w:val="19"/>
                <w:szCs w:val="19"/>
              </w:rPr>
              <w:lastRenderedPageBreak/>
              <w:t>See s 14ZZY below.</w:t>
            </w:r>
          </w:p>
        </w:tc>
      </w:tr>
      <w:tr w:rsidR="00030303" w:rsidRPr="00DB2B77" w14:paraId="56A28A5C" w14:textId="77777777" w:rsidTr="00030303">
        <w:tc>
          <w:tcPr>
            <w:tcW w:w="0" w:type="auto"/>
            <w:vAlign w:val="top"/>
            <w:hideMark/>
          </w:tcPr>
          <w:p w14:paraId="7C52AE30" w14:textId="77777777" w:rsidR="00030303" w:rsidRPr="00DB2B77" w:rsidRDefault="00030303" w:rsidP="00030303">
            <w:pPr>
              <w:spacing w:after="0" w:line="240" w:lineRule="auto"/>
              <w:rPr>
                <w:rFonts w:eastAsia="Times New Roman"/>
                <w:b/>
                <w:w w:val="100"/>
                <w:kern w:val="0"/>
                <w:sz w:val="19"/>
                <w:szCs w:val="19"/>
              </w:rPr>
            </w:pPr>
            <w:r w:rsidRPr="00DB2B77">
              <w:rPr>
                <w:rFonts w:eastAsia="Times New Roman"/>
                <w:b/>
                <w:w w:val="100"/>
                <w:kern w:val="0"/>
                <w:sz w:val="19"/>
                <w:szCs w:val="19"/>
              </w:rPr>
              <w:lastRenderedPageBreak/>
              <w:t>Circumstances in which a compensation or other remedy order may be made</w:t>
            </w:r>
          </w:p>
        </w:tc>
        <w:tc>
          <w:tcPr>
            <w:tcW w:w="0" w:type="auto"/>
            <w:vAlign w:val="top"/>
          </w:tcPr>
          <w:p w14:paraId="0AF166AB" w14:textId="77777777" w:rsidR="00030303" w:rsidRPr="00DB2B77" w:rsidRDefault="00030303" w:rsidP="00030303">
            <w:pPr>
              <w:spacing w:after="0" w:line="240" w:lineRule="auto"/>
              <w:rPr>
                <w:rFonts w:eastAsia="Times New Roman"/>
                <w:w w:val="100"/>
                <w:kern w:val="0"/>
                <w:sz w:val="19"/>
                <w:szCs w:val="19"/>
              </w:rPr>
            </w:pPr>
            <w:r w:rsidRPr="00DB2B77">
              <w:rPr>
                <w:rFonts w:eastAsia="Times New Roman"/>
                <w:w w:val="100"/>
                <w:kern w:val="0"/>
                <w:sz w:val="19"/>
                <w:szCs w:val="19"/>
              </w:rPr>
              <w:t xml:space="preserve">If the Federal Court or Federal Circuit and Family Court of Australia (Division 2) is satisfied that a person took or threatened to take, or is taking or threatening to take, a reprisal against a person the Court may make </w:t>
            </w:r>
          </w:p>
          <w:p w14:paraId="69FC7214"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a compensation order under s 14(1)</w:t>
            </w:r>
          </w:p>
          <w:p w14:paraId="14B15FCE"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an injunction under s 15(1).</w:t>
            </w:r>
          </w:p>
          <w:p w14:paraId="73B522F2" w14:textId="77777777" w:rsidR="00030303" w:rsidRPr="00DB2B77" w:rsidRDefault="00030303" w:rsidP="00030303">
            <w:pPr>
              <w:spacing w:after="0" w:line="240" w:lineRule="auto"/>
              <w:rPr>
                <w:rFonts w:eastAsia="Times New Roman"/>
                <w:w w:val="100"/>
                <w:kern w:val="0"/>
                <w:sz w:val="19"/>
                <w:szCs w:val="19"/>
              </w:rPr>
            </w:pPr>
          </w:p>
          <w:p w14:paraId="070A9833" w14:textId="77777777" w:rsidR="00030303" w:rsidRPr="00DB2B77" w:rsidRDefault="00030303" w:rsidP="00030303">
            <w:pPr>
              <w:spacing w:after="0" w:line="240" w:lineRule="auto"/>
              <w:rPr>
                <w:rFonts w:eastAsia="Times New Roman"/>
                <w:w w:val="100"/>
                <w:kern w:val="0"/>
                <w:sz w:val="19"/>
                <w:szCs w:val="19"/>
              </w:rPr>
            </w:pPr>
            <w:r w:rsidRPr="00DB2B77">
              <w:rPr>
                <w:rFonts w:eastAsia="Times New Roman"/>
                <w:w w:val="100"/>
                <w:kern w:val="0"/>
                <w:sz w:val="19"/>
                <w:szCs w:val="19"/>
              </w:rPr>
              <w:t>If the Federal Court or Federal Circuit and Family Court of Australia (Division 2) is satisfied that:</w:t>
            </w:r>
          </w:p>
          <w:p w14:paraId="3C7DA0CA"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another person (the respondent) has taken, or is taking, a reprisal against the applicant; and</w:t>
            </w:r>
          </w:p>
          <w:p w14:paraId="3A8E2B11"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the applicant is or was employed in a particular position with the respondent; and</w:t>
            </w:r>
          </w:p>
          <w:p w14:paraId="7B17022A"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 xml:space="preserve">the reprisal wholly or partly consists, or consisted, of the respondent terminating, or purporting to </w:t>
            </w:r>
            <w:r w:rsidRPr="00DB2B77">
              <w:rPr>
                <w:rFonts w:eastAsia="Times New Roman"/>
                <w:w w:val="100"/>
                <w:kern w:val="0"/>
                <w:sz w:val="19"/>
                <w:szCs w:val="19"/>
              </w:rPr>
              <w:lastRenderedPageBreak/>
              <w:t>terminate, the applicant’s employment;</w:t>
            </w:r>
          </w:p>
          <w:p w14:paraId="3CBB010A" w14:textId="77777777" w:rsidR="00030303" w:rsidRPr="00DB2B77" w:rsidRDefault="00030303" w:rsidP="00030303">
            <w:pPr>
              <w:spacing w:after="0" w:line="240" w:lineRule="auto"/>
              <w:rPr>
                <w:rFonts w:eastAsia="Times New Roman"/>
                <w:w w:val="100"/>
                <w:kern w:val="0"/>
                <w:sz w:val="19"/>
                <w:szCs w:val="19"/>
              </w:rPr>
            </w:pPr>
            <w:r w:rsidRPr="00DB2B77">
              <w:rPr>
                <w:rFonts w:eastAsia="Times New Roman"/>
                <w:w w:val="100"/>
                <w:kern w:val="0"/>
                <w:sz w:val="19"/>
                <w:szCs w:val="19"/>
              </w:rPr>
              <w:t xml:space="preserve">the Court may order reinstating of the person (s 16). </w:t>
            </w:r>
          </w:p>
        </w:tc>
        <w:tc>
          <w:tcPr>
            <w:tcW w:w="0" w:type="auto"/>
            <w:vAlign w:val="top"/>
          </w:tcPr>
          <w:p w14:paraId="6D23B92B" w14:textId="77777777" w:rsidR="00030303" w:rsidRPr="00DB2B77" w:rsidRDefault="00030303" w:rsidP="00030303">
            <w:pPr>
              <w:spacing w:after="0" w:line="240" w:lineRule="auto"/>
              <w:rPr>
                <w:rFonts w:eastAsia="Times New Roman"/>
                <w:w w:val="100"/>
                <w:kern w:val="0"/>
                <w:sz w:val="19"/>
                <w:szCs w:val="19"/>
              </w:rPr>
            </w:pPr>
          </w:p>
        </w:tc>
        <w:tc>
          <w:tcPr>
            <w:tcW w:w="0" w:type="auto"/>
            <w:vAlign w:val="top"/>
          </w:tcPr>
          <w:p w14:paraId="0E838CFA" w14:textId="77777777" w:rsidR="00030303" w:rsidRPr="00DB2B77" w:rsidRDefault="00030303" w:rsidP="00030303">
            <w:pPr>
              <w:spacing w:after="0" w:line="240" w:lineRule="auto"/>
              <w:rPr>
                <w:rFonts w:eastAsia="Times New Roman"/>
                <w:b/>
                <w:w w:val="100"/>
                <w:kern w:val="0"/>
                <w:sz w:val="19"/>
                <w:szCs w:val="19"/>
              </w:rPr>
            </w:pPr>
            <w:r w:rsidRPr="00DB2B77">
              <w:rPr>
                <w:rFonts w:eastAsia="Times New Roman"/>
                <w:w w:val="100"/>
                <w:kern w:val="0"/>
                <w:sz w:val="19"/>
                <w:szCs w:val="19"/>
              </w:rPr>
              <w:t>If a court is satisfied that (s 54</w:t>
            </w:r>
            <w:r w:rsidRPr="00DB2B77">
              <w:rPr>
                <w:rFonts w:eastAsia="Times New Roman"/>
                <w:w w:val="100"/>
                <w:kern w:val="0"/>
                <w:sz w:val="19"/>
                <w:szCs w:val="19"/>
              </w:rPr>
              <w:noBreakHyphen/>
              <w:t>5(6)):</w:t>
            </w:r>
          </w:p>
          <w:p w14:paraId="67C40B17"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a person (the employee) is employed in a particular position under a contract of employment with another person (the employer); and</w:t>
            </w:r>
          </w:p>
          <w:p w14:paraId="66EA5B01"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the employee makes a disclosure that qualifies for protection; and</w:t>
            </w:r>
          </w:p>
          <w:p w14:paraId="47B2138C"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the employer purports to terminate the contract of employment on the basis of the disclosure;</w:t>
            </w:r>
          </w:p>
          <w:p w14:paraId="15A4C811" w14:textId="77777777" w:rsidR="00030303" w:rsidRPr="00DB2B77" w:rsidRDefault="00030303" w:rsidP="00030303">
            <w:pPr>
              <w:spacing w:after="0" w:line="240" w:lineRule="auto"/>
              <w:contextualSpacing/>
              <w:rPr>
                <w:rFonts w:eastAsia="Times New Roman"/>
                <w:w w:val="100"/>
                <w:kern w:val="0"/>
                <w:sz w:val="19"/>
                <w:szCs w:val="19"/>
              </w:rPr>
            </w:pPr>
            <w:r w:rsidRPr="00DB2B77">
              <w:rPr>
                <w:rFonts w:eastAsia="Times New Roman"/>
                <w:w w:val="100"/>
                <w:kern w:val="0"/>
                <w:sz w:val="19"/>
                <w:szCs w:val="19"/>
              </w:rPr>
              <w:t>the court may:</w:t>
            </w:r>
          </w:p>
          <w:p w14:paraId="6D9BDE5C"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order that the employee be reinstated in that position or a position at a comparable level; or</w:t>
            </w:r>
          </w:p>
          <w:p w14:paraId="0FAE5361"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 xml:space="preserve">order the employer to pay the employee an amount instead of reinstating the employee, if the </w:t>
            </w:r>
            <w:r w:rsidRPr="00DB2B77">
              <w:rPr>
                <w:rFonts w:eastAsia="Times New Roman"/>
                <w:w w:val="100"/>
                <w:kern w:val="0"/>
                <w:sz w:val="19"/>
                <w:szCs w:val="19"/>
              </w:rPr>
              <w:lastRenderedPageBreak/>
              <w:t>court considers it appropriate to make the order.</w:t>
            </w:r>
          </w:p>
          <w:p w14:paraId="2DC16FB4" w14:textId="77777777" w:rsidR="00030303" w:rsidRPr="00DB2B77" w:rsidRDefault="00030303" w:rsidP="00030303">
            <w:pPr>
              <w:spacing w:after="0" w:line="240" w:lineRule="auto"/>
              <w:rPr>
                <w:rFonts w:eastAsia="Times New Roman"/>
                <w:w w:val="100"/>
                <w:kern w:val="0"/>
                <w:sz w:val="19"/>
                <w:szCs w:val="19"/>
              </w:rPr>
            </w:pPr>
          </w:p>
          <w:p w14:paraId="70E72075" w14:textId="77777777" w:rsidR="00030303" w:rsidRPr="00DB2B77" w:rsidRDefault="00030303" w:rsidP="00030303">
            <w:pPr>
              <w:spacing w:after="0" w:line="240" w:lineRule="auto"/>
              <w:rPr>
                <w:rFonts w:eastAsia="Times New Roman"/>
                <w:w w:val="100"/>
                <w:kern w:val="0"/>
                <w:sz w:val="19"/>
                <w:szCs w:val="19"/>
              </w:rPr>
            </w:pPr>
          </w:p>
        </w:tc>
        <w:tc>
          <w:tcPr>
            <w:tcW w:w="0" w:type="auto"/>
            <w:vAlign w:val="top"/>
          </w:tcPr>
          <w:p w14:paraId="6DD52110" w14:textId="77777777" w:rsidR="00030303" w:rsidRPr="00DB2B77" w:rsidRDefault="00030303" w:rsidP="00030303">
            <w:pPr>
              <w:spacing w:after="0" w:line="240" w:lineRule="auto"/>
              <w:rPr>
                <w:rFonts w:eastAsia="Times New Roman"/>
                <w:w w:val="100"/>
                <w:kern w:val="0"/>
                <w:sz w:val="19"/>
                <w:szCs w:val="19"/>
              </w:rPr>
            </w:pPr>
            <w:r w:rsidRPr="00DB2B77">
              <w:rPr>
                <w:rFonts w:eastAsia="Times New Roman"/>
                <w:w w:val="100"/>
                <w:kern w:val="0"/>
                <w:sz w:val="19"/>
                <w:szCs w:val="19"/>
              </w:rPr>
              <w:lastRenderedPageBreak/>
              <w:t>A court may make an order if a person (s 1317</w:t>
            </w:r>
            <w:proofErr w:type="gramStart"/>
            <w:r w:rsidRPr="00DB2B77">
              <w:rPr>
                <w:rFonts w:eastAsia="Times New Roman"/>
                <w:w w:val="100"/>
                <w:kern w:val="0"/>
                <w:sz w:val="19"/>
                <w:szCs w:val="19"/>
              </w:rPr>
              <w:t>AD(</w:t>
            </w:r>
            <w:proofErr w:type="gramEnd"/>
            <w:r w:rsidRPr="00DB2B77">
              <w:rPr>
                <w:rFonts w:eastAsia="Times New Roman"/>
                <w:w w:val="100"/>
                <w:kern w:val="0"/>
                <w:sz w:val="19"/>
                <w:szCs w:val="19"/>
              </w:rPr>
              <w:t>1)):</w:t>
            </w:r>
          </w:p>
          <w:p w14:paraId="246246B2" w14:textId="77777777" w:rsidR="00030303" w:rsidRPr="00DB2B77" w:rsidRDefault="00030303" w:rsidP="00030303">
            <w:pPr>
              <w:numPr>
                <w:ilvl w:val="0"/>
                <w:numId w:val="11"/>
              </w:numPr>
              <w:spacing w:after="0" w:line="240" w:lineRule="auto"/>
              <w:contextualSpacing/>
              <w:rPr>
                <w:rFonts w:eastAsia="Times New Roman"/>
                <w:b/>
                <w:w w:val="100"/>
                <w:kern w:val="0"/>
                <w:sz w:val="19"/>
                <w:szCs w:val="19"/>
              </w:rPr>
            </w:pPr>
            <w:r w:rsidRPr="00DB2B77">
              <w:rPr>
                <w:rFonts w:eastAsia="Times New Roman"/>
                <w:w w:val="100"/>
                <w:kern w:val="0"/>
                <w:sz w:val="19"/>
                <w:szCs w:val="19"/>
              </w:rPr>
              <w:t xml:space="preserve">engages in conduct which causes detriment to another person (or the threat of); and </w:t>
            </w:r>
          </w:p>
          <w:p w14:paraId="693ED315"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suspects that the other person or any other person made, may have made, proposes to make or could make a disclosure that qualifies for protection, and</w:t>
            </w:r>
          </w:p>
          <w:p w14:paraId="2A34C437"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that belief or suspicion is the reason, or part of the reason, for the conduct.</w:t>
            </w:r>
          </w:p>
          <w:p w14:paraId="455847EC" w14:textId="77777777" w:rsidR="00030303" w:rsidRPr="00DB2B77" w:rsidRDefault="00030303" w:rsidP="00030303">
            <w:pPr>
              <w:spacing w:after="0" w:line="240" w:lineRule="auto"/>
              <w:rPr>
                <w:rFonts w:eastAsia="Times New Roman"/>
                <w:w w:val="100"/>
                <w:kern w:val="0"/>
                <w:sz w:val="19"/>
                <w:szCs w:val="19"/>
              </w:rPr>
            </w:pPr>
          </w:p>
          <w:p w14:paraId="66CC0FAF" w14:textId="77777777" w:rsidR="00030303" w:rsidRPr="00DB2B77" w:rsidRDefault="00030303" w:rsidP="00030303">
            <w:pPr>
              <w:spacing w:after="0" w:line="240" w:lineRule="auto"/>
              <w:contextualSpacing/>
              <w:rPr>
                <w:rFonts w:eastAsia="Times New Roman"/>
                <w:w w:val="100"/>
                <w:kern w:val="0"/>
                <w:sz w:val="19"/>
                <w:szCs w:val="19"/>
              </w:rPr>
            </w:pPr>
            <w:r w:rsidRPr="00DB2B77">
              <w:rPr>
                <w:rFonts w:eastAsia="Times New Roman"/>
                <w:w w:val="100"/>
                <w:kern w:val="0"/>
                <w:sz w:val="19"/>
                <w:szCs w:val="19"/>
              </w:rPr>
              <w:t>The court may also make an order if a person is or was an officer or employee of a body corporate and the person (s 1317</w:t>
            </w:r>
            <w:proofErr w:type="gramStart"/>
            <w:r w:rsidRPr="00DB2B77">
              <w:rPr>
                <w:rFonts w:eastAsia="Times New Roman"/>
                <w:w w:val="100"/>
                <w:kern w:val="0"/>
                <w:sz w:val="19"/>
                <w:szCs w:val="19"/>
              </w:rPr>
              <w:t>AD(</w:t>
            </w:r>
            <w:proofErr w:type="gramEnd"/>
            <w:r w:rsidRPr="00DB2B77">
              <w:rPr>
                <w:rFonts w:eastAsia="Times New Roman"/>
                <w:w w:val="100"/>
                <w:kern w:val="0"/>
                <w:sz w:val="19"/>
                <w:szCs w:val="19"/>
              </w:rPr>
              <w:t>2)):</w:t>
            </w:r>
          </w:p>
          <w:p w14:paraId="3D829C71" w14:textId="77777777" w:rsidR="00030303" w:rsidRPr="00DB2B77" w:rsidRDefault="00030303" w:rsidP="00030303">
            <w:pPr>
              <w:numPr>
                <w:ilvl w:val="0"/>
                <w:numId w:val="12"/>
              </w:numPr>
              <w:spacing w:after="0" w:line="240" w:lineRule="auto"/>
              <w:contextualSpacing/>
              <w:rPr>
                <w:rFonts w:eastAsia="Times New Roman"/>
                <w:w w:val="100"/>
                <w:kern w:val="0"/>
                <w:sz w:val="19"/>
                <w:szCs w:val="19"/>
              </w:rPr>
            </w:pPr>
            <w:r w:rsidRPr="00DB2B77">
              <w:rPr>
                <w:rFonts w:eastAsia="Times New Roman"/>
                <w:w w:val="100"/>
                <w:kern w:val="0"/>
                <w:sz w:val="19"/>
                <w:szCs w:val="19"/>
              </w:rPr>
              <w:t>aided, abetted, counselled or procured the detrimental conduct; or</w:t>
            </w:r>
          </w:p>
          <w:p w14:paraId="56B87C28" w14:textId="77777777" w:rsidR="00030303" w:rsidRPr="00DB2B77" w:rsidRDefault="00030303" w:rsidP="00030303">
            <w:pPr>
              <w:numPr>
                <w:ilvl w:val="0"/>
                <w:numId w:val="12"/>
              </w:numPr>
              <w:spacing w:after="0" w:line="240" w:lineRule="auto"/>
              <w:contextualSpacing/>
              <w:rPr>
                <w:rFonts w:eastAsia="Times New Roman"/>
                <w:w w:val="100"/>
                <w:kern w:val="0"/>
                <w:sz w:val="19"/>
                <w:szCs w:val="19"/>
              </w:rPr>
            </w:pPr>
            <w:r w:rsidRPr="00DB2B77">
              <w:rPr>
                <w:rFonts w:eastAsia="Times New Roman"/>
                <w:w w:val="100"/>
                <w:kern w:val="0"/>
                <w:sz w:val="19"/>
                <w:szCs w:val="19"/>
              </w:rPr>
              <w:t>induced, whether by threats or promises or otherwise, the detrimental conduct; or</w:t>
            </w:r>
          </w:p>
          <w:p w14:paraId="7E7FF3F4" w14:textId="77777777" w:rsidR="00030303" w:rsidRPr="00DB2B77" w:rsidRDefault="00030303" w:rsidP="00030303">
            <w:pPr>
              <w:numPr>
                <w:ilvl w:val="0"/>
                <w:numId w:val="12"/>
              </w:numPr>
              <w:spacing w:after="0" w:line="240" w:lineRule="auto"/>
              <w:contextualSpacing/>
              <w:rPr>
                <w:rFonts w:eastAsia="Times New Roman"/>
                <w:w w:val="100"/>
                <w:kern w:val="0"/>
                <w:sz w:val="19"/>
                <w:szCs w:val="19"/>
              </w:rPr>
            </w:pPr>
            <w:r w:rsidRPr="00DB2B77">
              <w:rPr>
                <w:rFonts w:eastAsia="Times New Roman"/>
                <w:w w:val="100"/>
                <w:kern w:val="0"/>
                <w:sz w:val="19"/>
                <w:szCs w:val="19"/>
              </w:rPr>
              <w:t xml:space="preserve">was in any way, by act or omission, </w:t>
            </w:r>
            <w:r w:rsidRPr="00DB2B77">
              <w:rPr>
                <w:rFonts w:eastAsia="Times New Roman"/>
                <w:w w:val="100"/>
                <w:kern w:val="0"/>
                <w:sz w:val="19"/>
                <w:szCs w:val="19"/>
              </w:rPr>
              <w:lastRenderedPageBreak/>
              <w:t>directly or indirectly, knowingly concerned in, or party to, the detrimental conduct; or</w:t>
            </w:r>
          </w:p>
          <w:p w14:paraId="0DBEC74A" w14:textId="77777777" w:rsidR="00030303" w:rsidRPr="00DB2B77" w:rsidRDefault="00030303" w:rsidP="00030303">
            <w:pPr>
              <w:numPr>
                <w:ilvl w:val="0"/>
                <w:numId w:val="12"/>
              </w:numPr>
              <w:spacing w:after="0" w:line="240" w:lineRule="auto"/>
              <w:contextualSpacing/>
              <w:rPr>
                <w:rFonts w:eastAsia="Times New Roman"/>
                <w:w w:val="100"/>
                <w:kern w:val="0"/>
                <w:sz w:val="19"/>
                <w:szCs w:val="19"/>
              </w:rPr>
            </w:pPr>
            <w:r w:rsidRPr="00DB2B77">
              <w:rPr>
                <w:rFonts w:eastAsia="Times New Roman"/>
                <w:w w:val="100"/>
                <w:kern w:val="0"/>
                <w:sz w:val="19"/>
                <w:szCs w:val="19"/>
              </w:rPr>
              <w:t xml:space="preserve">conspired with others to </w:t>
            </w:r>
            <w:proofErr w:type="gramStart"/>
            <w:r w:rsidRPr="00DB2B77">
              <w:rPr>
                <w:rFonts w:eastAsia="Times New Roman"/>
                <w:w w:val="100"/>
                <w:kern w:val="0"/>
                <w:sz w:val="19"/>
                <w:szCs w:val="19"/>
              </w:rPr>
              <w:t>effect</w:t>
            </w:r>
            <w:proofErr w:type="gramEnd"/>
            <w:r w:rsidRPr="00DB2B77">
              <w:rPr>
                <w:rFonts w:eastAsia="Times New Roman"/>
                <w:w w:val="100"/>
                <w:kern w:val="0"/>
                <w:sz w:val="19"/>
                <w:szCs w:val="19"/>
              </w:rPr>
              <w:t xml:space="preserve"> the detrimental conduct.</w:t>
            </w:r>
          </w:p>
          <w:p w14:paraId="6AF007DF" w14:textId="77777777" w:rsidR="00030303" w:rsidRPr="00DB2B77" w:rsidRDefault="00030303" w:rsidP="00030303">
            <w:pPr>
              <w:spacing w:after="0" w:line="240" w:lineRule="auto"/>
              <w:contextualSpacing/>
              <w:rPr>
                <w:rFonts w:eastAsia="Times New Roman"/>
                <w:w w:val="100"/>
                <w:kern w:val="0"/>
                <w:sz w:val="19"/>
                <w:szCs w:val="19"/>
              </w:rPr>
            </w:pPr>
          </w:p>
          <w:p w14:paraId="156AD360" w14:textId="77777777" w:rsidR="00030303" w:rsidRPr="00DB2B77" w:rsidRDefault="00030303" w:rsidP="00030303">
            <w:pPr>
              <w:spacing w:after="0" w:line="240" w:lineRule="auto"/>
              <w:contextualSpacing/>
              <w:rPr>
                <w:rFonts w:eastAsia="Times New Roman"/>
                <w:w w:val="100"/>
                <w:kern w:val="0"/>
                <w:sz w:val="19"/>
                <w:szCs w:val="19"/>
              </w:rPr>
            </w:pPr>
            <w:r w:rsidRPr="00DB2B77">
              <w:rPr>
                <w:rFonts w:eastAsia="Times New Roman"/>
                <w:w w:val="100"/>
                <w:kern w:val="0"/>
                <w:sz w:val="19"/>
                <w:szCs w:val="19"/>
              </w:rPr>
              <w:t>This also applies where the person is a body corporate with a duty of care to prevent, or to take reasonable steps to prevent, detrimental conduct by a third person and they fail in that duty in part or whole (s 1317AD(2A)).</w:t>
            </w:r>
          </w:p>
          <w:p w14:paraId="3E3BC9F0" w14:textId="77777777" w:rsidR="00030303" w:rsidRPr="00DB2B77" w:rsidRDefault="00030303" w:rsidP="00030303">
            <w:pPr>
              <w:spacing w:after="0" w:line="240" w:lineRule="auto"/>
              <w:contextualSpacing/>
              <w:rPr>
                <w:rFonts w:eastAsia="Times New Roman"/>
                <w:w w:val="100"/>
                <w:kern w:val="0"/>
                <w:sz w:val="19"/>
                <w:szCs w:val="19"/>
              </w:rPr>
            </w:pPr>
          </w:p>
          <w:p w14:paraId="16BEE1A5" w14:textId="77777777" w:rsidR="00030303" w:rsidRPr="00DB2B77" w:rsidRDefault="00030303" w:rsidP="00030303">
            <w:pPr>
              <w:spacing w:after="0" w:line="240" w:lineRule="auto"/>
              <w:rPr>
                <w:rFonts w:eastAsia="Times New Roman"/>
                <w:w w:val="100"/>
                <w:kern w:val="0"/>
                <w:sz w:val="19"/>
                <w:szCs w:val="19"/>
              </w:rPr>
            </w:pPr>
          </w:p>
        </w:tc>
        <w:tc>
          <w:tcPr>
            <w:tcW w:w="0" w:type="auto"/>
            <w:vAlign w:val="top"/>
          </w:tcPr>
          <w:p w14:paraId="33E3282C" w14:textId="77777777" w:rsidR="00030303" w:rsidRPr="00DB2B77" w:rsidRDefault="00030303" w:rsidP="00030303">
            <w:pPr>
              <w:spacing w:after="0" w:line="240" w:lineRule="auto"/>
              <w:rPr>
                <w:rFonts w:eastAsia="Times New Roman"/>
                <w:w w:val="100"/>
                <w:kern w:val="0"/>
                <w:sz w:val="19"/>
                <w:szCs w:val="19"/>
              </w:rPr>
            </w:pPr>
            <w:r w:rsidRPr="00DB2B77">
              <w:rPr>
                <w:rFonts w:eastAsia="Times New Roman"/>
                <w:w w:val="100"/>
                <w:kern w:val="0"/>
                <w:sz w:val="19"/>
                <w:szCs w:val="19"/>
              </w:rPr>
              <w:lastRenderedPageBreak/>
              <w:t>If the Federal Court or Federal Circuit and Family Court of Australia (Division 2) is satisfied that a person took or threatened to take, or is taking or threatening to take, a reprisal against a person (the target), the court may make orders under section 337BB(a).</w:t>
            </w:r>
          </w:p>
        </w:tc>
        <w:tc>
          <w:tcPr>
            <w:tcW w:w="0" w:type="auto"/>
            <w:vAlign w:val="top"/>
          </w:tcPr>
          <w:p w14:paraId="2C88E06D" w14:textId="77777777" w:rsidR="00030303" w:rsidRPr="00DB2B77" w:rsidRDefault="00030303" w:rsidP="00030303">
            <w:pPr>
              <w:spacing w:after="0" w:line="240" w:lineRule="auto"/>
              <w:rPr>
                <w:rFonts w:eastAsia="Times New Roman"/>
                <w:b/>
                <w:w w:val="100"/>
                <w:kern w:val="0"/>
                <w:sz w:val="19"/>
                <w:szCs w:val="19"/>
              </w:rPr>
            </w:pPr>
            <w:r w:rsidRPr="00DB2B77">
              <w:rPr>
                <w:rFonts w:eastAsia="Times New Roman"/>
                <w:w w:val="100"/>
                <w:kern w:val="0"/>
                <w:sz w:val="19"/>
                <w:szCs w:val="19"/>
              </w:rPr>
              <w:t>A court may make an order if a person (s 14</w:t>
            </w:r>
            <w:proofErr w:type="gramStart"/>
            <w:r w:rsidRPr="00DB2B77">
              <w:rPr>
                <w:rFonts w:eastAsia="Times New Roman"/>
                <w:w w:val="100"/>
                <w:kern w:val="0"/>
                <w:sz w:val="19"/>
                <w:szCs w:val="19"/>
              </w:rPr>
              <w:t>ZZZ(</w:t>
            </w:r>
            <w:proofErr w:type="gramEnd"/>
            <w:r w:rsidRPr="00DB2B77">
              <w:rPr>
                <w:rFonts w:eastAsia="Times New Roman"/>
                <w:w w:val="100"/>
                <w:kern w:val="0"/>
                <w:sz w:val="19"/>
                <w:szCs w:val="19"/>
              </w:rPr>
              <w:t>1)):</w:t>
            </w:r>
          </w:p>
          <w:p w14:paraId="1A16712B"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 xml:space="preserve">engages in conduct that causes detriment to another person or constitutes the making of a threat to cause any such detriment to another person, and </w:t>
            </w:r>
          </w:p>
          <w:p w14:paraId="6A00419B"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where the person believes or suspects that the other person or any other person made, may have made, proposes to make or could make a disclosure that qualifies for protection, and</w:t>
            </w:r>
          </w:p>
          <w:p w14:paraId="26E1BFFC"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that belief or suspicion is the reason, or part of the reason, for the conduct.</w:t>
            </w:r>
          </w:p>
          <w:p w14:paraId="3D8EF6DF" w14:textId="77777777" w:rsidR="00030303" w:rsidRPr="00DB2B77" w:rsidRDefault="00030303" w:rsidP="00030303">
            <w:pPr>
              <w:spacing w:after="0" w:line="240" w:lineRule="auto"/>
              <w:contextualSpacing/>
              <w:rPr>
                <w:rFonts w:eastAsia="Times New Roman"/>
                <w:w w:val="100"/>
                <w:kern w:val="0"/>
                <w:sz w:val="19"/>
                <w:szCs w:val="19"/>
              </w:rPr>
            </w:pPr>
          </w:p>
          <w:p w14:paraId="30A19810" w14:textId="77777777" w:rsidR="00030303" w:rsidRPr="00DB2B77" w:rsidRDefault="00030303" w:rsidP="00030303">
            <w:pPr>
              <w:spacing w:after="0" w:line="240" w:lineRule="auto"/>
              <w:contextualSpacing/>
              <w:rPr>
                <w:rFonts w:eastAsia="Times New Roman"/>
                <w:w w:val="100"/>
                <w:kern w:val="0"/>
                <w:sz w:val="19"/>
                <w:szCs w:val="19"/>
              </w:rPr>
            </w:pPr>
            <w:r w:rsidRPr="00DB2B77">
              <w:rPr>
                <w:rFonts w:eastAsia="Times New Roman"/>
                <w:w w:val="100"/>
                <w:kern w:val="0"/>
                <w:sz w:val="19"/>
                <w:szCs w:val="19"/>
              </w:rPr>
              <w:t>The court may also make an order if a person (s 14</w:t>
            </w:r>
            <w:proofErr w:type="gramStart"/>
            <w:r w:rsidRPr="00DB2B77">
              <w:rPr>
                <w:rFonts w:eastAsia="Times New Roman"/>
                <w:w w:val="100"/>
                <w:kern w:val="0"/>
                <w:sz w:val="19"/>
                <w:szCs w:val="19"/>
              </w:rPr>
              <w:t>ZZZ(</w:t>
            </w:r>
            <w:proofErr w:type="gramEnd"/>
            <w:r w:rsidRPr="00DB2B77">
              <w:rPr>
                <w:rFonts w:eastAsia="Times New Roman"/>
                <w:w w:val="100"/>
                <w:kern w:val="0"/>
                <w:sz w:val="19"/>
                <w:szCs w:val="19"/>
              </w:rPr>
              <w:t>2)):</w:t>
            </w:r>
          </w:p>
          <w:p w14:paraId="4253697E" w14:textId="77777777" w:rsidR="00030303" w:rsidRPr="00DB2B77" w:rsidRDefault="00030303" w:rsidP="00030303">
            <w:pPr>
              <w:numPr>
                <w:ilvl w:val="0"/>
                <w:numId w:val="12"/>
              </w:numPr>
              <w:spacing w:after="0" w:line="240" w:lineRule="auto"/>
              <w:contextualSpacing/>
              <w:rPr>
                <w:rFonts w:eastAsia="Times New Roman"/>
                <w:w w:val="100"/>
                <w:kern w:val="0"/>
                <w:sz w:val="19"/>
                <w:szCs w:val="19"/>
              </w:rPr>
            </w:pPr>
            <w:r w:rsidRPr="00DB2B77">
              <w:rPr>
                <w:rFonts w:eastAsia="Times New Roman"/>
                <w:w w:val="100"/>
                <w:kern w:val="0"/>
                <w:sz w:val="19"/>
                <w:szCs w:val="19"/>
              </w:rPr>
              <w:t xml:space="preserve">aided, abetted, counselled or procured the </w:t>
            </w:r>
            <w:r w:rsidRPr="00DB2B77">
              <w:rPr>
                <w:rFonts w:eastAsia="Times New Roman"/>
                <w:w w:val="100"/>
                <w:kern w:val="0"/>
                <w:sz w:val="19"/>
                <w:szCs w:val="19"/>
              </w:rPr>
              <w:lastRenderedPageBreak/>
              <w:t>detrimental conduct; or</w:t>
            </w:r>
          </w:p>
          <w:p w14:paraId="1502CBC9" w14:textId="77777777" w:rsidR="00030303" w:rsidRPr="00DB2B77" w:rsidRDefault="00030303" w:rsidP="00030303">
            <w:pPr>
              <w:numPr>
                <w:ilvl w:val="0"/>
                <w:numId w:val="12"/>
              </w:numPr>
              <w:spacing w:after="0" w:line="240" w:lineRule="auto"/>
              <w:contextualSpacing/>
              <w:rPr>
                <w:rFonts w:eastAsia="Times New Roman"/>
                <w:w w:val="100"/>
                <w:kern w:val="0"/>
                <w:sz w:val="19"/>
                <w:szCs w:val="19"/>
              </w:rPr>
            </w:pPr>
            <w:r w:rsidRPr="00DB2B77">
              <w:rPr>
                <w:rFonts w:eastAsia="Times New Roman"/>
                <w:w w:val="100"/>
                <w:kern w:val="0"/>
                <w:sz w:val="19"/>
                <w:szCs w:val="19"/>
              </w:rPr>
              <w:t>induced, whether by threats or promises or otherwise, the detrimental conduct; or</w:t>
            </w:r>
          </w:p>
          <w:p w14:paraId="27509CA9" w14:textId="77777777" w:rsidR="00030303" w:rsidRPr="00DB2B77" w:rsidRDefault="00030303" w:rsidP="00030303">
            <w:pPr>
              <w:numPr>
                <w:ilvl w:val="0"/>
                <w:numId w:val="12"/>
              </w:numPr>
              <w:spacing w:after="0" w:line="240" w:lineRule="auto"/>
              <w:contextualSpacing/>
              <w:rPr>
                <w:rFonts w:eastAsia="Times New Roman"/>
                <w:w w:val="100"/>
                <w:kern w:val="0"/>
                <w:sz w:val="19"/>
                <w:szCs w:val="19"/>
              </w:rPr>
            </w:pPr>
            <w:r w:rsidRPr="00DB2B77">
              <w:rPr>
                <w:rFonts w:eastAsia="Times New Roman"/>
                <w:w w:val="100"/>
                <w:kern w:val="0"/>
                <w:sz w:val="19"/>
                <w:szCs w:val="19"/>
              </w:rPr>
              <w:t>was in any way, by act or omission, directly or indirectly, knowingly concerned in, or party to, the detrimental conduct; or</w:t>
            </w:r>
          </w:p>
          <w:p w14:paraId="5A96D38A" w14:textId="77777777" w:rsidR="00030303" w:rsidRPr="00DB2B77" w:rsidRDefault="00030303" w:rsidP="00030303">
            <w:pPr>
              <w:numPr>
                <w:ilvl w:val="0"/>
                <w:numId w:val="12"/>
              </w:numPr>
              <w:spacing w:after="0" w:line="240" w:lineRule="auto"/>
              <w:contextualSpacing/>
              <w:rPr>
                <w:rFonts w:eastAsia="Times New Roman"/>
                <w:w w:val="100"/>
                <w:kern w:val="0"/>
                <w:sz w:val="19"/>
                <w:szCs w:val="19"/>
              </w:rPr>
            </w:pPr>
            <w:r w:rsidRPr="00DB2B77">
              <w:rPr>
                <w:rFonts w:eastAsia="Times New Roman"/>
                <w:w w:val="100"/>
                <w:kern w:val="0"/>
                <w:sz w:val="19"/>
                <w:szCs w:val="19"/>
              </w:rPr>
              <w:t xml:space="preserve">conspired with others to </w:t>
            </w:r>
            <w:proofErr w:type="gramStart"/>
            <w:r w:rsidRPr="00DB2B77">
              <w:rPr>
                <w:rFonts w:eastAsia="Times New Roman"/>
                <w:w w:val="100"/>
                <w:kern w:val="0"/>
                <w:sz w:val="19"/>
                <w:szCs w:val="19"/>
              </w:rPr>
              <w:t>effect</w:t>
            </w:r>
            <w:proofErr w:type="gramEnd"/>
            <w:r w:rsidRPr="00DB2B77">
              <w:rPr>
                <w:rFonts w:eastAsia="Times New Roman"/>
                <w:w w:val="100"/>
                <w:kern w:val="0"/>
                <w:sz w:val="19"/>
                <w:szCs w:val="19"/>
              </w:rPr>
              <w:t xml:space="preserve"> the detrimental conduct.</w:t>
            </w:r>
          </w:p>
          <w:p w14:paraId="673E2E4C" w14:textId="77777777" w:rsidR="00030303" w:rsidRPr="00DB2B77" w:rsidRDefault="00030303" w:rsidP="00030303">
            <w:pPr>
              <w:spacing w:after="0" w:line="240" w:lineRule="auto"/>
              <w:contextualSpacing/>
              <w:rPr>
                <w:rFonts w:eastAsia="Times New Roman"/>
                <w:w w:val="100"/>
                <w:kern w:val="0"/>
                <w:sz w:val="19"/>
                <w:szCs w:val="19"/>
              </w:rPr>
            </w:pPr>
          </w:p>
          <w:p w14:paraId="5782F94B" w14:textId="77777777" w:rsidR="00030303" w:rsidRPr="00DB2B77" w:rsidRDefault="00030303" w:rsidP="00030303">
            <w:pPr>
              <w:spacing w:after="0" w:line="240" w:lineRule="auto"/>
              <w:contextualSpacing/>
              <w:rPr>
                <w:rFonts w:eastAsia="Times New Roman"/>
                <w:w w:val="100"/>
                <w:kern w:val="0"/>
                <w:sz w:val="19"/>
                <w:szCs w:val="19"/>
              </w:rPr>
            </w:pPr>
            <w:r w:rsidRPr="00DB2B77">
              <w:rPr>
                <w:rFonts w:eastAsia="Times New Roman"/>
                <w:w w:val="100"/>
                <w:kern w:val="0"/>
                <w:sz w:val="19"/>
                <w:szCs w:val="19"/>
              </w:rPr>
              <w:t xml:space="preserve">This also applies where the person is a body corporate with a duty of care to prevent, or to take reasonable steps to prevent, detrimental conduct by a third person and they fail in </w:t>
            </w:r>
            <w:r w:rsidRPr="00DB2B77">
              <w:rPr>
                <w:rFonts w:eastAsia="Times New Roman"/>
                <w:w w:val="100"/>
                <w:kern w:val="0"/>
                <w:sz w:val="19"/>
                <w:szCs w:val="19"/>
              </w:rPr>
              <w:lastRenderedPageBreak/>
              <w:t>that duty in part or whole ((s 14ZZZ(2A)).</w:t>
            </w:r>
          </w:p>
        </w:tc>
      </w:tr>
      <w:tr w:rsidR="00030303" w:rsidRPr="00DB2B77" w14:paraId="6BB3E715" w14:textId="77777777" w:rsidTr="00030303">
        <w:tc>
          <w:tcPr>
            <w:tcW w:w="0" w:type="auto"/>
            <w:vAlign w:val="top"/>
            <w:hideMark/>
          </w:tcPr>
          <w:p w14:paraId="34A2DCA4" w14:textId="77777777" w:rsidR="00030303" w:rsidRPr="00DB2B77" w:rsidRDefault="00030303" w:rsidP="00030303">
            <w:pPr>
              <w:spacing w:after="0" w:line="240" w:lineRule="auto"/>
              <w:rPr>
                <w:rFonts w:eastAsia="Times New Roman"/>
                <w:b/>
                <w:w w:val="100"/>
                <w:kern w:val="0"/>
                <w:sz w:val="19"/>
                <w:szCs w:val="19"/>
              </w:rPr>
            </w:pPr>
            <w:r w:rsidRPr="00DB2B77">
              <w:rPr>
                <w:rFonts w:eastAsia="Times New Roman"/>
                <w:b/>
                <w:w w:val="100"/>
                <w:kern w:val="0"/>
                <w:sz w:val="19"/>
                <w:szCs w:val="19"/>
              </w:rPr>
              <w:lastRenderedPageBreak/>
              <w:t>Detriment</w:t>
            </w:r>
          </w:p>
        </w:tc>
        <w:tc>
          <w:tcPr>
            <w:tcW w:w="0" w:type="auto"/>
            <w:vAlign w:val="top"/>
          </w:tcPr>
          <w:p w14:paraId="66F744A9" w14:textId="77777777" w:rsidR="00030303" w:rsidRPr="00DB2B77" w:rsidRDefault="00030303" w:rsidP="00030303">
            <w:pPr>
              <w:spacing w:after="0" w:line="240" w:lineRule="auto"/>
              <w:rPr>
                <w:rFonts w:eastAsia="Times New Roman"/>
                <w:b/>
                <w:w w:val="100"/>
                <w:kern w:val="0"/>
                <w:sz w:val="19"/>
                <w:szCs w:val="19"/>
              </w:rPr>
            </w:pPr>
            <w:r w:rsidRPr="00DB2B77">
              <w:rPr>
                <w:rFonts w:eastAsia="Times New Roman"/>
                <w:w w:val="100"/>
                <w:kern w:val="0"/>
                <w:sz w:val="19"/>
                <w:szCs w:val="19"/>
              </w:rPr>
              <w:t>Detriment includes any disadvantage, (without limitation) (s 13(2)):</w:t>
            </w:r>
          </w:p>
          <w:p w14:paraId="3711F35E"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dismissal of an employee;</w:t>
            </w:r>
          </w:p>
          <w:p w14:paraId="46B22D2C"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injury of an employee in his or her employment;</w:t>
            </w:r>
          </w:p>
          <w:p w14:paraId="3C7BCA86"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alteration of an employee’s position to his or her detriment;</w:t>
            </w:r>
          </w:p>
          <w:p w14:paraId="741552D7"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discrimination between an employee and other employees of the same employer.</w:t>
            </w:r>
          </w:p>
          <w:p w14:paraId="7117EBFA" w14:textId="77777777" w:rsidR="00030303" w:rsidRPr="00DB2B77" w:rsidRDefault="00030303" w:rsidP="00030303">
            <w:pPr>
              <w:spacing w:after="0" w:line="240" w:lineRule="auto"/>
              <w:rPr>
                <w:rFonts w:eastAsia="Times New Roman"/>
                <w:w w:val="100"/>
                <w:kern w:val="0"/>
                <w:sz w:val="19"/>
                <w:szCs w:val="19"/>
              </w:rPr>
            </w:pPr>
          </w:p>
        </w:tc>
        <w:tc>
          <w:tcPr>
            <w:tcW w:w="0" w:type="auto"/>
            <w:vAlign w:val="top"/>
          </w:tcPr>
          <w:p w14:paraId="3DC4C8FC" w14:textId="77777777" w:rsidR="00030303" w:rsidRPr="00DB2B77" w:rsidRDefault="00030303" w:rsidP="00030303">
            <w:pPr>
              <w:spacing w:after="0" w:line="240" w:lineRule="auto"/>
              <w:rPr>
                <w:rFonts w:eastAsia="Times New Roman"/>
                <w:w w:val="100"/>
                <w:kern w:val="0"/>
                <w:sz w:val="19"/>
                <w:szCs w:val="19"/>
              </w:rPr>
            </w:pPr>
          </w:p>
        </w:tc>
        <w:tc>
          <w:tcPr>
            <w:tcW w:w="0" w:type="auto"/>
            <w:vAlign w:val="top"/>
          </w:tcPr>
          <w:p w14:paraId="415F4C6E" w14:textId="77777777" w:rsidR="00030303" w:rsidRPr="00DB2B77" w:rsidRDefault="00030303" w:rsidP="00030303">
            <w:pPr>
              <w:spacing w:after="0" w:line="240" w:lineRule="auto"/>
              <w:ind w:left="360"/>
              <w:contextualSpacing/>
              <w:rPr>
                <w:rFonts w:eastAsia="Times New Roman"/>
                <w:w w:val="100"/>
                <w:kern w:val="0"/>
                <w:sz w:val="19"/>
                <w:szCs w:val="19"/>
              </w:rPr>
            </w:pPr>
          </w:p>
        </w:tc>
        <w:tc>
          <w:tcPr>
            <w:tcW w:w="0" w:type="auto"/>
            <w:vAlign w:val="top"/>
          </w:tcPr>
          <w:p w14:paraId="0003EC7C" w14:textId="77777777" w:rsidR="00030303" w:rsidRPr="00DB2B77" w:rsidRDefault="00030303" w:rsidP="00030303">
            <w:pPr>
              <w:spacing w:after="0" w:line="240" w:lineRule="auto"/>
              <w:contextualSpacing/>
              <w:rPr>
                <w:rFonts w:eastAsia="Times New Roman"/>
                <w:b/>
                <w:w w:val="100"/>
                <w:kern w:val="0"/>
                <w:sz w:val="19"/>
                <w:szCs w:val="19"/>
              </w:rPr>
            </w:pPr>
            <w:r w:rsidRPr="00DB2B77">
              <w:rPr>
                <w:rFonts w:eastAsia="Times New Roman"/>
                <w:w w:val="100"/>
                <w:kern w:val="0"/>
                <w:sz w:val="19"/>
                <w:szCs w:val="19"/>
              </w:rPr>
              <w:t>Detriment includes (without limitation) any of the following (s 1317ADA):</w:t>
            </w:r>
          </w:p>
          <w:p w14:paraId="31940054"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dismissal of an employee;</w:t>
            </w:r>
          </w:p>
          <w:p w14:paraId="15DD6199"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injury of an employee in his or her employment;</w:t>
            </w:r>
          </w:p>
          <w:p w14:paraId="68F5EC08"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alteration of an employee’s position or duties to his or her disadvantage;</w:t>
            </w:r>
          </w:p>
          <w:p w14:paraId="3D6CCF01"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discrimination between an employee and other employees of the same employer;</w:t>
            </w:r>
          </w:p>
          <w:p w14:paraId="124E1E4D"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harassment or intimidation of a person;</w:t>
            </w:r>
          </w:p>
          <w:p w14:paraId="59ED27A5"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harm or injury to a person, including psychological harm;</w:t>
            </w:r>
          </w:p>
          <w:p w14:paraId="7A16BD34"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damage to a person’s property;</w:t>
            </w:r>
          </w:p>
          <w:p w14:paraId="5565730B"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damage to a person’s reputation;</w:t>
            </w:r>
          </w:p>
          <w:p w14:paraId="2FFB5047"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damage to a person’s business or financial position;</w:t>
            </w:r>
          </w:p>
          <w:p w14:paraId="5743811E" w14:textId="77777777" w:rsidR="00030303" w:rsidRPr="00DB2B77" w:rsidRDefault="00030303" w:rsidP="00030303">
            <w:pPr>
              <w:spacing w:after="0" w:line="240" w:lineRule="auto"/>
              <w:contextualSpacing/>
              <w:rPr>
                <w:rFonts w:eastAsia="Times New Roman"/>
                <w:b/>
                <w:w w:val="100"/>
                <w:kern w:val="0"/>
                <w:sz w:val="19"/>
                <w:szCs w:val="19"/>
              </w:rPr>
            </w:pPr>
            <w:r w:rsidRPr="00DB2B77">
              <w:rPr>
                <w:rFonts w:eastAsia="Times New Roman"/>
                <w:w w:val="100"/>
                <w:kern w:val="0"/>
                <w:sz w:val="19"/>
                <w:szCs w:val="19"/>
              </w:rPr>
              <w:t>any other damage to a person</w:t>
            </w:r>
          </w:p>
        </w:tc>
        <w:tc>
          <w:tcPr>
            <w:tcW w:w="0" w:type="auto"/>
            <w:vAlign w:val="top"/>
          </w:tcPr>
          <w:p w14:paraId="53BD471F" w14:textId="77777777" w:rsidR="00030303" w:rsidRPr="00DB2B77" w:rsidRDefault="00030303" w:rsidP="00030303">
            <w:pPr>
              <w:spacing w:after="0" w:line="240" w:lineRule="auto"/>
              <w:rPr>
                <w:rFonts w:eastAsia="Times New Roman"/>
                <w:b/>
                <w:w w:val="100"/>
                <w:kern w:val="0"/>
                <w:sz w:val="19"/>
                <w:szCs w:val="19"/>
              </w:rPr>
            </w:pPr>
            <w:r w:rsidRPr="00DB2B77">
              <w:rPr>
                <w:rFonts w:eastAsia="Times New Roman"/>
                <w:w w:val="100"/>
                <w:kern w:val="0"/>
                <w:sz w:val="19"/>
                <w:szCs w:val="19"/>
              </w:rPr>
              <w:t>Detriment includes, without limitation (s 337</w:t>
            </w:r>
            <w:proofErr w:type="gramStart"/>
            <w:r w:rsidRPr="00DB2B77">
              <w:rPr>
                <w:rFonts w:eastAsia="Times New Roman"/>
                <w:w w:val="100"/>
                <w:kern w:val="0"/>
                <w:sz w:val="19"/>
                <w:szCs w:val="19"/>
              </w:rPr>
              <w:t>BA(</w:t>
            </w:r>
            <w:proofErr w:type="gramEnd"/>
            <w:r w:rsidRPr="00DB2B77">
              <w:rPr>
                <w:rFonts w:eastAsia="Times New Roman"/>
                <w:w w:val="100"/>
                <w:kern w:val="0"/>
                <w:sz w:val="19"/>
                <w:szCs w:val="19"/>
              </w:rPr>
              <w:t>2)):</w:t>
            </w:r>
          </w:p>
          <w:p w14:paraId="1F5E4755"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dismissal of an employee;</w:t>
            </w:r>
          </w:p>
          <w:p w14:paraId="7EE33DE6"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injury of an employee in his or her employment;</w:t>
            </w:r>
          </w:p>
          <w:p w14:paraId="6ECA9F55"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alteration of an employee’s position to his or her detriment;</w:t>
            </w:r>
          </w:p>
          <w:p w14:paraId="6E4F669A"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discrimination between an employee and other employees of the same employer;</w:t>
            </w:r>
          </w:p>
          <w:p w14:paraId="77202358"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harassment or intimidation of a person;</w:t>
            </w:r>
          </w:p>
          <w:p w14:paraId="26F8DB7C"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harm or injury to a person, including psychological harm;</w:t>
            </w:r>
          </w:p>
          <w:p w14:paraId="3408E8E8"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damage to a person’s property;</w:t>
            </w:r>
          </w:p>
          <w:p w14:paraId="54DBE359"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damage to a person’s reputation.</w:t>
            </w:r>
          </w:p>
        </w:tc>
        <w:tc>
          <w:tcPr>
            <w:tcW w:w="0" w:type="auto"/>
            <w:vAlign w:val="top"/>
          </w:tcPr>
          <w:p w14:paraId="12ADA9B9" w14:textId="77777777" w:rsidR="00030303" w:rsidRPr="00DB2B77" w:rsidRDefault="00030303" w:rsidP="00030303">
            <w:pPr>
              <w:spacing w:after="0" w:line="240" w:lineRule="auto"/>
              <w:contextualSpacing/>
              <w:rPr>
                <w:rFonts w:eastAsia="Times New Roman"/>
                <w:b/>
                <w:w w:val="100"/>
                <w:kern w:val="0"/>
                <w:sz w:val="19"/>
                <w:szCs w:val="19"/>
              </w:rPr>
            </w:pPr>
            <w:r w:rsidRPr="00DB2B77">
              <w:rPr>
                <w:rFonts w:eastAsia="Times New Roman"/>
                <w:w w:val="100"/>
                <w:kern w:val="0"/>
                <w:sz w:val="19"/>
                <w:szCs w:val="19"/>
              </w:rPr>
              <w:t>Detriment includes (without limitation) any of the following (s 14ZZZAA):</w:t>
            </w:r>
          </w:p>
          <w:p w14:paraId="2B54D043"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dismissal of an employee;</w:t>
            </w:r>
          </w:p>
          <w:p w14:paraId="6FC65AB3"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injury of an employee in his or her employment;</w:t>
            </w:r>
          </w:p>
          <w:p w14:paraId="2792865B"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alteration of an employee’s position or duties to his or her disadvantage;</w:t>
            </w:r>
          </w:p>
          <w:p w14:paraId="3B391851"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discrimination between an employee and other employees of the same employer;</w:t>
            </w:r>
          </w:p>
          <w:p w14:paraId="1866AB4D"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harassment or intimidation of a person;</w:t>
            </w:r>
          </w:p>
          <w:p w14:paraId="35C67494"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harm or injury to a person, including psychological harm;</w:t>
            </w:r>
          </w:p>
          <w:p w14:paraId="19730FCF"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damage to a person’s property;</w:t>
            </w:r>
          </w:p>
          <w:p w14:paraId="6E323AF5"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damage to a person’s reputation;</w:t>
            </w:r>
          </w:p>
          <w:p w14:paraId="180CC324"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damage to a person’s business or financial position;</w:t>
            </w:r>
          </w:p>
          <w:p w14:paraId="3CA6F28D"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any other damage to a person.</w:t>
            </w:r>
          </w:p>
        </w:tc>
      </w:tr>
      <w:tr w:rsidR="00030303" w:rsidRPr="00DB2B77" w14:paraId="6FEC163B" w14:textId="77777777" w:rsidTr="00030303">
        <w:tc>
          <w:tcPr>
            <w:tcW w:w="0" w:type="auto"/>
            <w:vAlign w:val="top"/>
            <w:hideMark/>
          </w:tcPr>
          <w:p w14:paraId="6FB504FD" w14:textId="77777777" w:rsidR="00030303" w:rsidRPr="00DB2B77" w:rsidRDefault="00030303" w:rsidP="00030303">
            <w:pPr>
              <w:spacing w:after="0" w:line="240" w:lineRule="auto"/>
              <w:rPr>
                <w:rFonts w:eastAsia="Times New Roman"/>
                <w:b/>
                <w:w w:val="100"/>
                <w:kern w:val="0"/>
                <w:sz w:val="19"/>
                <w:szCs w:val="19"/>
              </w:rPr>
            </w:pPr>
            <w:r w:rsidRPr="00DB2B77">
              <w:rPr>
                <w:rFonts w:eastAsia="Times New Roman"/>
                <w:b/>
                <w:w w:val="100"/>
                <w:kern w:val="0"/>
                <w:sz w:val="19"/>
                <w:szCs w:val="19"/>
              </w:rPr>
              <w:lastRenderedPageBreak/>
              <w:t>Compensation and other remedies—orders that may be made</w:t>
            </w:r>
          </w:p>
        </w:tc>
        <w:tc>
          <w:tcPr>
            <w:tcW w:w="0" w:type="auto"/>
            <w:vAlign w:val="top"/>
          </w:tcPr>
          <w:p w14:paraId="0E8D6190" w14:textId="77777777" w:rsidR="00030303" w:rsidRPr="00DB2B77" w:rsidRDefault="00030303" w:rsidP="00030303">
            <w:pPr>
              <w:spacing w:after="0" w:line="240" w:lineRule="auto"/>
              <w:rPr>
                <w:rFonts w:eastAsia="Times New Roman"/>
                <w:w w:val="100"/>
                <w:kern w:val="0"/>
                <w:sz w:val="19"/>
                <w:szCs w:val="19"/>
              </w:rPr>
            </w:pPr>
            <w:r w:rsidRPr="00DB2B77">
              <w:rPr>
                <w:rFonts w:eastAsia="Times New Roman"/>
                <w:w w:val="100"/>
                <w:kern w:val="0"/>
                <w:sz w:val="19"/>
                <w:szCs w:val="19"/>
              </w:rPr>
              <w:t>The court may make any one or more of the following orders:</w:t>
            </w:r>
          </w:p>
          <w:p w14:paraId="60E48A55"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an order requiring the respondent (either together with another person or an employer) to compensate the applicant for loss, damage or injury as a result of the reprisal or threat: s 14.</w:t>
            </w:r>
          </w:p>
          <w:p w14:paraId="3A9BC17C"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an order granting an injunction, on such terms as the Court thinks appropriate: s 15.</w:t>
            </w:r>
          </w:p>
          <w:p w14:paraId="045A8D63"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an order requiring the respondent to apologise to the target for taking, or threatening to take, the reprisal s:15.</w:t>
            </w:r>
          </w:p>
          <w:p w14:paraId="20EED28D"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an order that the applicant be reinstated: s 16.</w:t>
            </w:r>
          </w:p>
          <w:p w14:paraId="05103EEC"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any other order the Court thinks appropriate: s 15.</w:t>
            </w:r>
            <w:r w:rsidRPr="00DB2B77">
              <w:rPr>
                <w:rFonts w:eastAsia="Times New Roman"/>
                <w:w w:val="100"/>
                <w:kern w:val="0"/>
                <w:sz w:val="19"/>
                <w:szCs w:val="19"/>
              </w:rPr>
              <w:br/>
            </w:r>
          </w:p>
          <w:p w14:paraId="5B4A9316" w14:textId="77777777" w:rsidR="00030303" w:rsidRPr="00DB2B77" w:rsidRDefault="00030303" w:rsidP="00030303">
            <w:pPr>
              <w:spacing w:after="0" w:line="240" w:lineRule="auto"/>
              <w:rPr>
                <w:rFonts w:eastAsia="Times New Roman"/>
                <w:w w:val="100"/>
                <w:kern w:val="0"/>
                <w:sz w:val="19"/>
                <w:szCs w:val="19"/>
              </w:rPr>
            </w:pPr>
            <w:r w:rsidRPr="00DB2B77">
              <w:rPr>
                <w:rFonts w:eastAsia="Times New Roman"/>
                <w:w w:val="100"/>
                <w:kern w:val="0"/>
                <w:sz w:val="19"/>
                <w:szCs w:val="19"/>
              </w:rPr>
              <w:t xml:space="preserve">The court may also make an order against any other person who: </w:t>
            </w:r>
          </w:p>
          <w:p w14:paraId="56F9AB67"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lastRenderedPageBreak/>
              <w:t>aided, abetted, counselled or procured the conduct; or</w:t>
            </w:r>
          </w:p>
          <w:p w14:paraId="43316449"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induced the conduct, whether through threats or promises or otherwise; or</w:t>
            </w:r>
          </w:p>
          <w:p w14:paraId="58E12480" w14:textId="77777777" w:rsidR="00030303" w:rsidRPr="00DB2B77" w:rsidRDefault="00030303" w:rsidP="00030303">
            <w:pPr>
              <w:numPr>
                <w:ilvl w:val="0"/>
                <w:numId w:val="11"/>
              </w:numPr>
              <w:spacing w:after="0" w:line="240" w:lineRule="auto"/>
              <w:contextualSpacing/>
              <w:rPr>
                <w:rFonts w:eastAsia="Times New Roman"/>
                <w:b/>
                <w:w w:val="100"/>
                <w:kern w:val="0"/>
                <w:sz w:val="19"/>
                <w:szCs w:val="19"/>
              </w:rPr>
            </w:pPr>
            <w:r w:rsidRPr="00DB2B77">
              <w:rPr>
                <w:rFonts w:eastAsia="Times New Roman"/>
                <w:w w:val="100"/>
                <w:kern w:val="0"/>
                <w:sz w:val="19"/>
                <w:szCs w:val="19"/>
              </w:rPr>
              <w:t xml:space="preserve">been in any way (directly or indirectly) knowingly concerned in or a party to the conduct; or conspired with others to </w:t>
            </w:r>
            <w:proofErr w:type="gramStart"/>
            <w:r w:rsidRPr="00DB2B77">
              <w:rPr>
                <w:rFonts w:eastAsia="Times New Roman"/>
                <w:w w:val="100"/>
                <w:kern w:val="0"/>
                <w:sz w:val="19"/>
                <w:szCs w:val="19"/>
              </w:rPr>
              <w:t>effect</w:t>
            </w:r>
            <w:proofErr w:type="gramEnd"/>
            <w:r w:rsidRPr="00DB2B77">
              <w:rPr>
                <w:rFonts w:eastAsia="Times New Roman"/>
                <w:w w:val="100"/>
                <w:kern w:val="0"/>
                <w:sz w:val="19"/>
                <w:szCs w:val="19"/>
              </w:rPr>
              <w:t xml:space="preserve"> the conduct: s 15.</w:t>
            </w:r>
          </w:p>
        </w:tc>
        <w:tc>
          <w:tcPr>
            <w:tcW w:w="0" w:type="auto"/>
            <w:vAlign w:val="top"/>
          </w:tcPr>
          <w:p w14:paraId="5042367D" w14:textId="77777777" w:rsidR="00030303" w:rsidRPr="00DB2B77" w:rsidRDefault="00030303" w:rsidP="00030303">
            <w:pPr>
              <w:spacing w:after="0" w:line="240" w:lineRule="auto"/>
              <w:rPr>
                <w:rFonts w:eastAsia="Times New Roman"/>
                <w:b/>
                <w:w w:val="100"/>
                <w:kern w:val="0"/>
                <w:sz w:val="19"/>
                <w:szCs w:val="19"/>
              </w:rPr>
            </w:pPr>
            <w:r w:rsidRPr="00DB2B77">
              <w:rPr>
                <w:rFonts w:eastAsia="Times New Roman"/>
                <w:w w:val="100"/>
                <w:kern w:val="0"/>
                <w:sz w:val="19"/>
                <w:szCs w:val="19"/>
              </w:rPr>
              <w:lastRenderedPageBreak/>
              <w:t>If a person contravenes subsection 73</w:t>
            </w:r>
            <w:proofErr w:type="gramStart"/>
            <w:r w:rsidRPr="00DB2B77">
              <w:rPr>
                <w:rFonts w:eastAsia="Times New Roman"/>
                <w:w w:val="100"/>
                <w:kern w:val="0"/>
                <w:sz w:val="19"/>
                <w:szCs w:val="19"/>
              </w:rPr>
              <w:t>ZC(</w:t>
            </w:r>
            <w:proofErr w:type="gramEnd"/>
            <w:r w:rsidRPr="00DB2B77">
              <w:rPr>
                <w:rFonts w:eastAsia="Times New Roman"/>
                <w:w w:val="100"/>
                <w:kern w:val="0"/>
                <w:sz w:val="19"/>
                <w:szCs w:val="19"/>
              </w:rPr>
              <w:t>1) or (2) by causing or threatening to cause detriment to a person and another person suffers damage because of the contravention, the person in contravention is liable to compensate the other person for the damage: s 73ZD.</w:t>
            </w:r>
          </w:p>
        </w:tc>
        <w:tc>
          <w:tcPr>
            <w:tcW w:w="0" w:type="auto"/>
            <w:vAlign w:val="top"/>
          </w:tcPr>
          <w:p w14:paraId="17313A25" w14:textId="77777777" w:rsidR="00030303" w:rsidRPr="00DB2B77" w:rsidRDefault="00030303" w:rsidP="00030303">
            <w:pPr>
              <w:spacing w:after="0" w:line="240" w:lineRule="auto"/>
              <w:rPr>
                <w:rFonts w:eastAsia="Times New Roman"/>
                <w:b/>
                <w:w w:val="100"/>
                <w:kern w:val="0"/>
                <w:sz w:val="19"/>
                <w:szCs w:val="19"/>
              </w:rPr>
            </w:pPr>
            <w:r w:rsidRPr="00DB2B77">
              <w:rPr>
                <w:rFonts w:eastAsia="Times New Roman"/>
                <w:w w:val="100"/>
                <w:kern w:val="0"/>
                <w:sz w:val="19"/>
                <w:szCs w:val="19"/>
              </w:rPr>
              <w:t>If a person contravenes subsection 54</w:t>
            </w:r>
            <w:r w:rsidRPr="00DB2B77">
              <w:rPr>
                <w:rFonts w:ascii="Cambria Math" w:eastAsia="Times New Roman" w:hAnsi="Cambria Math" w:cs="Cambria Math"/>
                <w:w w:val="100"/>
                <w:kern w:val="0"/>
                <w:sz w:val="19"/>
                <w:szCs w:val="19"/>
              </w:rPr>
              <w:t>‑</w:t>
            </w:r>
            <w:r w:rsidRPr="00DB2B77">
              <w:rPr>
                <w:rFonts w:eastAsia="Times New Roman"/>
                <w:w w:val="100"/>
                <w:kern w:val="0"/>
                <w:sz w:val="19"/>
                <w:szCs w:val="19"/>
              </w:rPr>
              <w:t>6(1) or (2) by causing or threatening to cause detriment to a person and another person suffers damage because of the contravention, the person in contravention is liable to compensate the other person for the damage: s</w:t>
            </w:r>
            <w:r w:rsidRPr="00DB2B77">
              <w:rPr>
                <w:rFonts w:eastAsia="Times New Roman"/>
                <w:b/>
                <w:w w:val="100"/>
                <w:kern w:val="0"/>
                <w:sz w:val="19"/>
                <w:szCs w:val="19"/>
              </w:rPr>
              <w:t xml:space="preserve"> </w:t>
            </w:r>
            <w:r w:rsidRPr="00DB2B77">
              <w:rPr>
                <w:rFonts w:eastAsia="Times New Roman"/>
                <w:w w:val="100"/>
                <w:kern w:val="0"/>
                <w:sz w:val="19"/>
                <w:szCs w:val="19"/>
              </w:rPr>
              <w:t>54</w:t>
            </w:r>
            <w:r w:rsidRPr="00DB2B77">
              <w:rPr>
                <w:rFonts w:ascii="Cambria Math" w:eastAsia="Times New Roman" w:hAnsi="Cambria Math" w:cs="Cambria Math"/>
                <w:w w:val="100"/>
                <w:kern w:val="0"/>
                <w:sz w:val="19"/>
                <w:szCs w:val="19"/>
              </w:rPr>
              <w:t>‑</w:t>
            </w:r>
            <w:r w:rsidRPr="00DB2B77">
              <w:rPr>
                <w:rFonts w:eastAsia="Times New Roman"/>
                <w:w w:val="100"/>
                <w:kern w:val="0"/>
                <w:sz w:val="19"/>
                <w:szCs w:val="19"/>
              </w:rPr>
              <w:t>7.</w:t>
            </w:r>
          </w:p>
        </w:tc>
        <w:tc>
          <w:tcPr>
            <w:tcW w:w="0" w:type="auto"/>
            <w:vAlign w:val="top"/>
          </w:tcPr>
          <w:p w14:paraId="56906406" w14:textId="77777777" w:rsidR="00030303" w:rsidRPr="00DB2B77" w:rsidRDefault="00030303" w:rsidP="00030303">
            <w:pPr>
              <w:spacing w:after="0" w:line="240" w:lineRule="auto"/>
              <w:rPr>
                <w:rFonts w:eastAsia="Times New Roman"/>
                <w:w w:val="100"/>
                <w:kern w:val="0"/>
                <w:sz w:val="19"/>
                <w:szCs w:val="19"/>
              </w:rPr>
            </w:pPr>
            <w:r w:rsidRPr="00DB2B77">
              <w:rPr>
                <w:rFonts w:eastAsia="Times New Roman"/>
                <w:w w:val="100"/>
                <w:kern w:val="0"/>
                <w:sz w:val="19"/>
                <w:szCs w:val="19"/>
              </w:rPr>
              <w:t>The court may make any of the following orders (s 1317AE):</w:t>
            </w:r>
          </w:p>
          <w:p w14:paraId="7C5A1810"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an order requiring the first person to compensate the second person, or any other person, for loss, damage or injury suffered as a result of the detrimental conduct;</w:t>
            </w:r>
          </w:p>
          <w:p w14:paraId="275A0E82"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if the court is satisfied that the first person engaged in the detrimental conduct in connection with the first person’s position as an employee:</w:t>
            </w:r>
          </w:p>
          <w:p w14:paraId="44EB4BE5" w14:textId="77777777" w:rsidR="00030303" w:rsidRPr="00DB2B77" w:rsidRDefault="00030303" w:rsidP="00030303">
            <w:pPr>
              <w:numPr>
                <w:ilvl w:val="1"/>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 xml:space="preserve">an order requiring the first person to compensate the second person, or any other person, for a part of loss, damage or injury as a result of the detrimental conduct, and an order requiring the first person’s employer to compensate the second person, or any other person, for a part of loss, </w:t>
            </w:r>
            <w:r w:rsidRPr="00DB2B77">
              <w:rPr>
                <w:rFonts w:eastAsia="Times New Roman"/>
                <w:w w:val="100"/>
                <w:kern w:val="0"/>
                <w:sz w:val="19"/>
                <w:szCs w:val="19"/>
              </w:rPr>
              <w:lastRenderedPageBreak/>
              <w:t>damage or injury as a result of the detrimental conduct; or</w:t>
            </w:r>
          </w:p>
          <w:p w14:paraId="11CB72A6" w14:textId="77777777" w:rsidR="00030303" w:rsidRPr="00DB2B77" w:rsidRDefault="00030303" w:rsidP="00030303">
            <w:pPr>
              <w:spacing w:after="0" w:line="240" w:lineRule="auto"/>
              <w:ind w:left="1080"/>
              <w:contextualSpacing/>
              <w:rPr>
                <w:rFonts w:eastAsia="Times New Roman"/>
                <w:w w:val="100"/>
                <w:kern w:val="0"/>
                <w:sz w:val="19"/>
                <w:szCs w:val="19"/>
              </w:rPr>
            </w:pPr>
          </w:p>
          <w:p w14:paraId="44FA17B5" w14:textId="77777777" w:rsidR="00030303" w:rsidRPr="00DB2B77" w:rsidRDefault="00030303" w:rsidP="00030303">
            <w:pPr>
              <w:numPr>
                <w:ilvl w:val="1"/>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an order requiring the first person and the first person’s employer jointly to compensate the second person, or any other person, for loss, damage or injury suffered as a result of the detrimental conduct; or</w:t>
            </w:r>
          </w:p>
          <w:p w14:paraId="496C4695" w14:textId="77777777" w:rsidR="00030303" w:rsidRPr="00DB2B77" w:rsidRDefault="00030303" w:rsidP="00030303">
            <w:pPr>
              <w:numPr>
                <w:ilvl w:val="1"/>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an order requiring the first person’s employer to compensate the second person, or any other person, for loss, damage or injury as a result of the detrimental conduct;</w:t>
            </w:r>
          </w:p>
          <w:p w14:paraId="59DC9513"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an order granting an injunction, on such terms as the court thinks appropriate, to prevent, stop or remedy the effects of the detrimental conduct;</w:t>
            </w:r>
          </w:p>
          <w:p w14:paraId="7E4FD6A9"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lastRenderedPageBreak/>
              <w:t>an order requiring the first person to apologise to the second person, or any other person, for engaging in the detrimental conduct;</w:t>
            </w:r>
          </w:p>
          <w:p w14:paraId="57EB0CA7"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if the second person is or was employed in a particular position and the detrimental conduct wholly or partly consists, or consisted, of the termination, or purported termination, of the second person’s employment—an order that the second person be reinstated in that position or a position at a comparable level;</w:t>
            </w:r>
          </w:p>
          <w:p w14:paraId="6F5134DD"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if the court thinks it is appropriate—an order requiring the first person to pay exemplary damages to the second person, or any other person;</w:t>
            </w:r>
          </w:p>
          <w:p w14:paraId="1965E618" w14:textId="77777777" w:rsidR="00030303" w:rsidRPr="00DB2B77" w:rsidRDefault="00030303" w:rsidP="00030303">
            <w:pPr>
              <w:spacing w:after="0" w:line="240" w:lineRule="auto"/>
              <w:contextualSpacing/>
              <w:rPr>
                <w:rFonts w:eastAsia="Times New Roman"/>
                <w:b/>
                <w:w w:val="100"/>
                <w:kern w:val="0"/>
                <w:sz w:val="19"/>
                <w:szCs w:val="19"/>
              </w:rPr>
            </w:pPr>
            <w:r w:rsidRPr="00DB2B77">
              <w:rPr>
                <w:rFonts w:eastAsia="Times New Roman"/>
                <w:w w:val="100"/>
                <w:kern w:val="0"/>
                <w:sz w:val="19"/>
                <w:szCs w:val="19"/>
              </w:rPr>
              <w:t>any other order the court thinks appropriate.</w:t>
            </w:r>
          </w:p>
        </w:tc>
        <w:tc>
          <w:tcPr>
            <w:tcW w:w="0" w:type="auto"/>
            <w:vAlign w:val="top"/>
          </w:tcPr>
          <w:p w14:paraId="7538D818" w14:textId="77777777" w:rsidR="00030303" w:rsidRPr="00DB2B77" w:rsidRDefault="00030303" w:rsidP="00030303">
            <w:pPr>
              <w:spacing w:after="0" w:line="240" w:lineRule="auto"/>
              <w:rPr>
                <w:rFonts w:eastAsia="Times New Roman"/>
                <w:w w:val="100"/>
                <w:kern w:val="0"/>
                <w:sz w:val="19"/>
                <w:szCs w:val="19"/>
              </w:rPr>
            </w:pPr>
            <w:r w:rsidRPr="00DB2B77">
              <w:rPr>
                <w:rFonts w:eastAsia="Times New Roman"/>
                <w:w w:val="100"/>
                <w:kern w:val="0"/>
                <w:sz w:val="19"/>
                <w:szCs w:val="19"/>
              </w:rPr>
              <w:lastRenderedPageBreak/>
              <w:t>The court may make any one or more of the following orders (s 337</w:t>
            </w:r>
            <w:proofErr w:type="gramStart"/>
            <w:r w:rsidRPr="00DB2B77">
              <w:rPr>
                <w:rFonts w:eastAsia="Times New Roman"/>
                <w:w w:val="100"/>
                <w:kern w:val="0"/>
                <w:sz w:val="19"/>
                <w:szCs w:val="19"/>
              </w:rPr>
              <w:t>BB(</w:t>
            </w:r>
            <w:proofErr w:type="gramEnd"/>
            <w:r w:rsidRPr="00DB2B77">
              <w:rPr>
                <w:rFonts w:eastAsia="Times New Roman"/>
                <w:w w:val="100"/>
                <w:kern w:val="0"/>
                <w:sz w:val="19"/>
                <w:szCs w:val="19"/>
              </w:rPr>
              <w:t>1)):</w:t>
            </w:r>
          </w:p>
          <w:p w14:paraId="20C70576"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an order requiring the respondent to compensate the target for loss, damage or injury as a result of the reprisal or threat</w:t>
            </w:r>
          </w:p>
          <w:p w14:paraId="0E293359"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an order granting an injunction, on such terms as the Court thinks appropriate, to prevent, stop or remedy the effects of the reprisal or threat;</w:t>
            </w:r>
          </w:p>
          <w:p w14:paraId="5DA388A4"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an order requiring the respondent to apologise to the target for taking, or threatening to take, the reprisal;</w:t>
            </w:r>
          </w:p>
          <w:p w14:paraId="65BDD4F7"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 xml:space="preserve">if the target is or was employed in a particular position with the respondent and the reprisal wholly or partly consists, or consisted, of the respondent terminating, or </w:t>
            </w:r>
            <w:r w:rsidRPr="00DB2B77">
              <w:rPr>
                <w:rFonts w:eastAsia="Times New Roman"/>
                <w:w w:val="100"/>
                <w:kern w:val="0"/>
                <w:sz w:val="19"/>
                <w:szCs w:val="19"/>
              </w:rPr>
              <w:lastRenderedPageBreak/>
              <w:t>purporting to terminate, the target’s employment—an order that the target be reinstated in that position or a position at a comparable level;</w:t>
            </w:r>
          </w:p>
          <w:p w14:paraId="3E9FFC52"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if the Court thinks it is appropriate—an order requiring the respondent to pay exemplary damages to the target;</w:t>
            </w:r>
          </w:p>
          <w:p w14:paraId="1A9FA18B"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any other order the Court thinks appropriate.</w:t>
            </w:r>
          </w:p>
          <w:p w14:paraId="79051D78" w14:textId="77777777" w:rsidR="00030303" w:rsidRPr="00DB2B77" w:rsidRDefault="00030303" w:rsidP="00030303">
            <w:pPr>
              <w:spacing w:after="0" w:line="240" w:lineRule="auto"/>
              <w:rPr>
                <w:rFonts w:eastAsia="Times New Roman"/>
                <w:w w:val="100"/>
                <w:kern w:val="0"/>
                <w:sz w:val="19"/>
                <w:szCs w:val="19"/>
              </w:rPr>
            </w:pPr>
            <w:r w:rsidRPr="00DB2B77">
              <w:rPr>
                <w:rFonts w:eastAsia="Times New Roman"/>
                <w:w w:val="100"/>
                <w:kern w:val="0"/>
                <w:sz w:val="19"/>
                <w:szCs w:val="19"/>
              </w:rPr>
              <w:t>The court may also make an order against any other person who (s 337</w:t>
            </w:r>
            <w:proofErr w:type="gramStart"/>
            <w:r w:rsidRPr="00DB2B77">
              <w:rPr>
                <w:rFonts w:eastAsia="Times New Roman"/>
                <w:w w:val="100"/>
                <w:kern w:val="0"/>
                <w:sz w:val="19"/>
                <w:szCs w:val="19"/>
              </w:rPr>
              <w:t>BB(</w:t>
            </w:r>
            <w:proofErr w:type="gramEnd"/>
            <w:r w:rsidRPr="00DB2B77">
              <w:rPr>
                <w:rFonts w:eastAsia="Times New Roman"/>
                <w:w w:val="100"/>
                <w:kern w:val="0"/>
                <w:sz w:val="19"/>
                <w:szCs w:val="19"/>
              </w:rPr>
              <w:t xml:space="preserve">6)): </w:t>
            </w:r>
          </w:p>
          <w:p w14:paraId="54488BD7"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aided, abetted, counselled or procured the conduct; or</w:t>
            </w:r>
          </w:p>
          <w:p w14:paraId="7E298BB2"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induced the conduct, whether through threats or promises or otherwise; or</w:t>
            </w:r>
          </w:p>
          <w:p w14:paraId="1AE12EA4"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 xml:space="preserve">failed to fulfil a duty to prevent, refrain from, or take reasonable steps to ensure other persons </w:t>
            </w:r>
            <w:r w:rsidRPr="00DB2B77">
              <w:rPr>
                <w:rFonts w:eastAsia="Times New Roman"/>
                <w:w w:val="100"/>
                <w:kern w:val="0"/>
                <w:sz w:val="19"/>
                <w:szCs w:val="19"/>
              </w:rPr>
              <w:lastRenderedPageBreak/>
              <w:t>under the person’s control prevented or refrained from, the conduct; or</w:t>
            </w:r>
          </w:p>
          <w:p w14:paraId="4BC71089"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been in any way (directly or indirectly) knowingly concerned in or a party to the conduct; or</w:t>
            </w:r>
          </w:p>
          <w:p w14:paraId="2ED23222"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 xml:space="preserve">conspired with others to </w:t>
            </w:r>
            <w:proofErr w:type="gramStart"/>
            <w:r w:rsidRPr="00DB2B77">
              <w:rPr>
                <w:rFonts w:eastAsia="Times New Roman"/>
                <w:w w:val="100"/>
                <w:kern w:val="0"/>
                <w:sz w:val="19"/>
                <w:szCs w:val="19"/>
              </w:rPr>
              <w:t>effect</w:t>
            </w:r>
            <w:proofErr w:type="gramEnd"/>
            <w:r w:rsidRPr="00DB2B77">
              <w:rPr>
                <w:rFonts w:eastAsia="Times New Roman"/>
                <w:w w:val="100"/>
                <w:kern w:val="0"/>
                <w:sz w:val="19"/>
                <w:szCs w:val="19"/>
              </w:rPr>
              <w:t xml:space="preserve"> the conduct.</w:t>
            </w:r>
          </w:p>
        </w:tc>
        <w:tc>
          <w:tcPr>
            <w:tcW w:w="0" w:type="auto"/>
            <w:vAlign w:val="top"/>
          </w:tcPr>
          <w:p w14:paraId="50DA1E70" w14:textId="77777777" w:rsidR="00030303" w:rsidRPr="00DB2B77" w:rsidRDefault="00030303" w:rsidP="00030303">
            <w:pPr>
              <w:spacing w:after="0" w:line="240" w:lineRule="auto"/>
              <w:rPr>
                <w:rFonts w:eastAsia="Times New Roman"/>
                <w:b/>
                <w:w w:val="100"/>
                <w:kern w:val="0"/>
                <w:sz w:val="19"/>
                <w:szCs w:val="19"/>
              </w:rPr>
            </w:pPr>
            <w:r w:rsidRPr="00DB2B77">
              <w:rPr>
                <w:rFonts w:eastAsia="Times New Roman"/>
                <w:w w:val="100"/>
                <w:kern w:val="0"/>
                <w:sz w:val="19"/>
                <w:szCs w:val="19"/>
              </w:rPr>
              <w:lastRenderedPageBreak/>
              <w:t>The court may make any of the following orders (s 14</w:t>
            </w:r>
            <w:proofErr w:type="gramStart"/>
            <w:r w:rsidRPr="00DB2B77">
              <w:rPr>
                <w:rFonts w:eastAsia="Times New Roman"/>
                <w:w w:val="100"/>
                <w:kern w:val="0"/>
                <w:sz w:val="19"/>
                <w:szCs w:val="19"/>
              </w:rPr>
              <w:t>ZZZA(</w:t>
            </w:r>
            <w:proofErr w:type="gramEnd"/>
            <w:r w:rsidRPr="00DB2B77">
              <w:rPr>
                <w:rFonts w:eastAsia="Times New Roman"/>
                <w:w w:val="100"/>
                <w:kern w:val="0"/>
                <w:sz w:val="19"/>
                <w:szCs w:val="19"/>
              </w:rPr>
              <w:t>1)):</w:t>
            </w:r>
          </w:p>
          <w:p w14:paraId="5ACE9197"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an order requiring the first person to compensate the second person, or any other person, for loss, damage or injury suffered as a result of the detrimental conduct;</w:t>
            </w:r>
          </w:p>
          <w:p w14:paraId="41B44511"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if the court is satisfied that the first person engaged in the detrimental conduct in connection with the first person’s position as an employee:</w:t>
            </w:r>
          </w:p>
          <w:p w14:paraId="3BCA76A4" w14:textId="77777777" w:rsidR="00030303" w:rsidRPr="00DB2B77" w:rsidRDefault="00030303" w:rsidP="00030303">
            <w:pPr>
              <w:numPr>
                <w:ilvl w:val="1"/>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 xml:space="preserve">an order requiring the first person to compensate the second person, or any other person, for a part of loss, damage or injury as a result of the detrimental conduct, and an order requiring the first person’s </w:t>
            </w:r>
            <w:r w:rsidRPr="00DB2B77">
              <w:rPr>
                <w:rFonts w:eastAsia="Times New Roman"/>
                <w:w w:val="100"/>
                <w:kern w:val="0"/>
                <w:sz w:val="19"/>
                <w:szCs w:val="19"/>
              </w:rPr>
              <w:lastRenderedPageBreak/>
              <w:t>employer to compensate the second person, or any other person, for a part of loss, damage or injury as a result of the detrimental conduct; or</w:t>
            </w:r>
          </w:p>
          <w:p w14:paraId="613646C5" w14:textId="77777777" w:rsidR="00030303" w:rsidRPr="00DB2B77" w:rsidRDefault="00030303" w:rsidP="00030303">
            <w:pPr>
              <w:spacing w:after="0" w:line="240" w:lineRule="auto"/>
              <w:ind w:left="1080"/>
              <w:contextualSpacing/>
              <w:rPr>
                <w:rFonts w:eastAsia="Times New Roman"/>
                <w:w w:val="100"/>
                <w:kern w:val="0"/>
                <w:sz w:val="19"/>
                <w:szCs w:val="19"/>
              </w:rPr>
            </w:pPr>
          </w:p>
          <w:p w14:paraId="7A45E18F" w14:textId="77777777" w:rsidR="00030303" w:rsidRPr="00DB2B77" w:rsidRDefault="00030303" w:rsidP="00030303">
            <w:pPr>
              <w:numPr>
                <w:ilvl w:val="1"/>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an order requiring the first person and the first person’s employer jointly to compensate the second person, or any other person, for loss, damage or injury suffered as a result of the detrimental conduct; or</w:t>
            </w:r>
          </w:p>
          <w:p w14:paraId="65EB1DAA" w14:textId="77777777" w:rsidR="00030303" w:rsidRPr="00DB2B77" w:rsidRDefault="00030303" w:rsidP="00030303">
            <w:pPr>
              <w:numPr>
                <w:ilvl w:val="1"/>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 xml:space="preserve">an order requiring the first person’s employer to compensate the second person, or any other person, for loss, </w:t>
            </w:r>
            <w:r w:rsidRPr="00DB2B77">
              <w:rPr>
                <w:rFonts w:eastAsia="Times New Roman"/>
                <w:w w:val="100"/>
                <w:kern w:val="0"/>
                <w:sz w:val="19"/>
                <w:szCs w:val="19"/>
              </w:rPr>
              <w:lastRenderedPageBreak/>
              <w:t>damage or injury as a result of the detrimental conduct;</w:t>
            </w:r>
          </w:p>
          <w:p w14:paraId="07DDE032"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an order granting an injunction, on such terms as the court thinks appropriate, to prevent, stop or remedy the effects of the detrimental conduct;</w:t>
            </w:r>
          </w:p>
          <w:p w14:paraId="65EEA50B"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an order requiring the first person to apologise to the second person, or any other person, for engaging in the detrimental conduct;</w:t>
            </w:r>
          </w:p>
          <w:p w14:paraId="0F3E90C2"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 xml:space="preserve">if the second person is or was employed in a particular position and the detrimental conduct wholly or partly consists, or consisted, of the termination, or purported termination, of the second person’s employment—an order that the second person be reinstated in that position or a </w:t>
            </w:r>
            <w:r w:rsidRPr="00DB2B77">
              <w:rPr>
                <w:rFonts w:eastAsia="Times New Roman"/>
                <w:w w:val="100"/>
                <w:kern w:val="0"/>
                <w:sz w:val="19"/>
                <w:szCs w:val="19"/>
              </w:rPr>
              <w:lastRenderedPageBreak/>
              <w:t>position at a comparable level;</w:t>
            </w:r>
          </w:p>
          <w:p w14:paraId="6E441C52"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if the court thinks it is appropriate—an order requiring the first person to pay exemplary damages to the second person, or any other person;</w:t>
            </w:r>
          </w:p>
          <w:p w14:paraId="45FF5852"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any other order the court thinks appropriate.</w:t>
            </w:r>
          </w:p>
        </w:tc>
      </w:tr>
      <w:tr w:rsidR="00030303" w:rsidRPr="00DB2B77" w14:paraId="7BD2E1C1" w14:textId="77777777" w:rsidTr="00030303">
        <w:tc>
          <w:tcPr>
            <w:tcW w:w="0" w:type="auto"/>
            <w:vAlign w:val="top"/>
            <w:hideMark/>
          </w:tcPr>
          <w:p w14:paraId="4F1DCA79" w14:textId="77777777" w:rsidR="00030303" w:rsidRPr="00DB2B77" w:rsidRDefault="00030303" w:rsidP="00030303">
            <w:pPr>
              <w:spacing w:after="0" w:line="240" w:lineRule="auto"/>
              <w:rPr>
                <w:rFonts w:eastAsia="Times New Roman"/>
                <w:b/>
                <w:w w:val="100"/>
                <w:kern w:val="0"/>
                <w:sz w:val="19"/>
                <w:szCs w:val="19"/>
              </w:rPr>
            </w:pPr>
            <w:r w:rsidRPr="00DB2B77">
              <w:rPr>
                <w:rFonts w:eastAsia="Times New Roman"/>
                <w:b/>
                <w:w w:val="100"/>
                <w:kern w:val="0"/>
                <w:sz w:val="19"/>
                <w:szCs w:val="19"/>
              </w:rPr>
              <w:lastRenderedPageBreak/>
              <w:t>Protection of identifying information</w:t>
            </w:r>
          </w:p>
        </w:tc>
        <w:tc>
          <w:tcPr>
            <w:tcW w:w="0" w:type="auto"/>
            <w:vAlign w:val="top"/>
          </w:tcPr>
          <w:p w14:paraId="44ED534E" w14:textId="77777777" w:rsidR="00030303" w:rsidRPr="00DB2B77" w:rsidRDefault="00030303" w:rsidP="00030303">
            <w:pPr>
              <w:spacing w:after="0" w:line="240" w:lineRule="auto"/>
              <w:rPr>
                <w:rFonts w:eastAsia="Times New Roman"/>
                <w:w w:val="100"/>
                <w:kern w:val="0"/>
                <w:sz w:val="19"/>
                <w:szCs w:val="19"/>
              </w:rPr>
            </w:pPr>
            <w:r w:rsidRPr="00DB2B77">
              <w:rPr>
                <w:rFonts w:eastAsia="Times New Roman"/>
                <w:w w:val="100"/>
                <w:kern w:val="0"/>
                <w:sz w:val="19"/>
                <w:szCs w:val="19"/>
              </w:rPr>
              <w:t>A person commits an offence if another person (the discloser) makes a public interest disclosure; and the first person discloses or uses information that (s 20(1)-(2)):</w:t>
            </w:r>
          </w:p>
          <w:p w14:paraId="5FA1BEE3"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was obtained by any person in that person’s capacity as a public official; and</w:t>
            </w:r>
          </w:p>
          <w:p w14:paraId="5B24E55A"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is likely to enable the identification of the second person as a person who has made a public interest disclosure</w:t>
            </w:r>
            <w:r w:rsidRPr="00DB2B77">
              <w:rPr>
                <w:rFonts w:eastAsia="Times New Roman"/>
                <w:w w:val="100"/>
                <w:kern w:val="0"/>
                <w:sz w:val="19"/>
                <w:szCs w:val="19"/>
              </w:rPr>
              <w:br/>
            </w:r>
          </w:p>
          <w:p w14:paraId="317F9433" w14:textId="77777777" w:rsidR="00030303" w:rsidRPr="00DB2B77" w:rsidRDefault="00030303" w:rsidP="00030303">
            <w:pPr>
              <w:spacing w:after="0" w:line="240" w:lineRule="auto"/>
              <w:rPr>
                <w:rFonts w:eastAsia="Times New Roman"/>
                <w:w w:val="100"/>
                <w:kern w:val="0"/>
                <w:sz w:val="19"/>
                <w:szCs w:val="19"/>
              </w:rPr>
            </w:pPr>
            <w:r w:rsidRPr="00DB2B77">
              <w:rPr>
                <w:rFonts w:eastAsia="Times New Roman"/>
                <w:w w:val="100"/>
                <w:kern w:val="0"/>
                <w:sz w:val="19"/>
                <w:szCs w:val="19"/>
              </w:rPr>
              <w:t>Penalty:  Imprisonment for 6 months or 30 penalty units, or both.</w:t>
            </w:r>
          </w:p>
          <w:p w14:paraId="06652E97" w14:textId="77777777" w:rsidR="00030303" w:rsidRPr="00DB2B77" w:rsidRDefault="00030303" w:rsidP="00030303">
            <w:pPr>
              <w:spacing w:after="0" w:line="240" w:lineRule="auto"/>
              <w:rPr>
                <w:rFonts w:eastAsia="Times New Roman"/>
                <w:b/>
                <w:w w:val="100"/>
                <w:kern w:val="0"/>
                <w:sz w:val="19"/>
                <w:szCs w:val="19"/>
              </w:rPr>
            </w:pPr>
          </w:p>
          <w:p w14:paraId="72B903F6" w14:textId="77777777" w:rsidR="00030303" w:rsidRPr="00DB2B77" w:rsidRDefault="00030303" w:rsidP="00030303">
            <w:pPr>
              <w:spacing w:after="0" w:line="240" w:lineRule="auto"/>
              <w:rPr>
                <w:rFonts w:eastAsia="Times New Roman"/>
                <w:w w:val="100"/>
                <w:kern w:val="0"/>
                <w:sz w:val="19"/>
                <w:szCs w:val="19"/>
              </w:rPr>
            </w:pPr>
            <w:r w:rsidRPr="00DB2B77">
              <w:rPr>
                <w:rFonts w:eastAsia="Times New Roman"/>
                <w:w w:val="100"/>
                <w:kern w:val="0"/>
                <w:sz w:val="19"/>
                <w:szCs w:val="19"/>
              </w:rPr>
              <w:lastRenderedPageBreak/>
              <w:t xml:space="preserve">Disclosures and uses are authorised if (s 20(3)): </w:t>
            </w:r>
          </w:p>
          <w:p w14:paraId="3ED9DB8B"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it is for the purposes of the PID Act</w:t>
            </w:r>
          </w:p>
          <w:p w14:paraId="46C841FB"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 xml:space="preserve">it is in connection with the performance of a function conferred on the Ombudsman by s 5A of the </w:t>
            </w:r>
            <w:r w:rsidRPr="00DB2B77">
              <w:rPr>
                <w:rFonts w:eastAsia="Times New Roman"/>
                <w:i/>
                <w:w w:val="100"/>
                <w:kern w:val="0"/>
                <w:sz w:val="19"/>
                <w:szCs w:val="19"/>
              </w:rPr>
              <w:t>Ombudsman Act 1976</w:t>
            </w:r>
          </w:p>
          <w:p w14:paraId="0B9815E6"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color w:val="000000"/>
                <w:w w:val="100"/>
                <w:kern w:val="0"/>
                <w:sz w:val="19"/>
                <w:szCs w:val="19"/>
                <w:shd w:val="clear" w:color="auto" w:fill="FFFFFF"/>
              </w:rPr>
              <w:t xml:space="preserve">it </w:t>
            </w:r>
            <w:r w:rsidRPr="00DB2B77">
              <w:rPr>
                <w:rFonts w:eastAsia="Times New Roman"/>
                <w:w w:val="100"/>
                <w:kern w:val="0"/>
                <w:sz w:val="19"/>
                <w:szCs w:val="19"/>
              </w:rPr>
              <w:t>is in connection with the performance of a function conferred on the IGIS by section 8A of the </w:t>
            </w:r>
            <w:r w:rsidRPr="00DB2B77">
              <w:rPr>
                <w:rFonts w:eastAsia="Times New Roman"/>
                <w:i/>
                <w:w w:val="100"/>
                <w:kern w:val="0"/>
                <w:sz w:val="19"/>
                <w:szCs w:val="19"/>
              </w:rPr>
              <w:t>Inspector</w:t>
            </w:r>
            <w:r w:rsidRPr="00DB2B77">
              <w:rPr>
                <w:rFonts w:eastAsia="Times New Roman"/>
                <w:i/>
                <w:w w:val="100"/>
                <w:kern w:val="0"/>
                <w:sz w:val="19"/>
                <w:szCs w:val="19"/>
              </w:rPr>
              <w:noBreakHyphen/>
              <w:t>General of Intelligence and Security Act 1986</w:t>
            </w:r>
            <w:r w:rsidRPr="00DB2B77">
              <w:rPr>
                <w:rFonts w:eastAsia="Times New Roman"/>
                <w:w w:val="100"/>
                <w:kern w:val="0"/>
                <w:sz w:val="19"/>
                <w:szCs w:val="19"/>
              </w:rPr>
              <w:t>;</w:t>
            </w:r>
          </w:p>
          <w:p w14:paraId="648CD89E"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 xml:space="preserve">it is for the purpose of a law of the Commonwealth or State or Territory. </w:t>
            </w:r>
          </w:p>
          <w:p w14:paraId="0A5F0ADB"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It is made with the consent of the discloser.</w:t>
            </w:r>
          </w:p>
          <w:p w14:paraId="7B3024C8"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It has previously been lawfully published.</w:t>
            </w:r>
          </w:p>
          <w:p w14:paraId="010019D3" w14:textId="77777777" w:rsidR="00030303" w:rsidRPr="00DB2B77" w:rsidRDefault="00030303" w:rsidP="00030303">
            <w:pPr>
              <w:spacing w:after="0" w:line="240" w:lineRule="auto"/>
              <w:rPr>
                <w:rFonts w:eastAsia="Times New Roman"/>
                <w:w w:val="100"/>
                <w:kern w:val="0"/>
                <w:sz w:val="19"/>
                <w:szCs w:val="19"/>
              </w:rPr>
            </w:pPr>
          </w:p>
        </w:tc>
        <w:tc>
          <w:tcPr>
            <w:tcW w:w="0" w:type="auto"/>
            <w:vAlign w:val="top"/>
          </w:tcPr>
          <w:p w14:paraId="7BEB6F38" w14:textId="77777777" w:rsidR="00030303" w:rsidRPr="00DB2B77" w:rsidRDefault="00030303" w:rsidP="00030303">
            <w:pPr>
              <w:spacing w:after="0" w:line="240" w:lineRule="auto"/>
              <w:rPr>
                <w:rFonts w:eastAsia="Times New Roman"/>
                <w:w w:val="100"/>
                <w:kern w:val="0"/>
                <w:sz w:val="19"/>
                <w:szCs w:val="19"/>
              </w:rPr>
            </w:pPr>
          </w:p>
        </w:tc>
        <w:tc>
          <w:tcPr>
            <w:tcW w:w="0" w:type="auto"/>
            <w:vAlign w:val="top"/>
          </w:tcPr>
          <w:p w14:paraId="1216A0B2" w14:textId="77777777" w:rsidR="00030303" w:rsidRPr="00DB2B77" w:rsidRDefault="00030303" w:rsidP="00030303">
            <w:pPr>
              <w:spacing w:after="0" w:line="240" w:lineRule="auto"/>
              <w:rPr>
                <w:rFonts w:eastAsia="Times New Roman"/>
                <w:w w:val="100"/>
                <w:kern w:val="0"/>
                <w:sz w:val="19"/>
                <w:szCs w:val="19"/>
              </w:rPr>
            </w:pPr>
            <w:r w:rsidRPr="00DB2B77">
              <w:rPr>
                <w:rFonts w:eastAsia="Times New Roman"/>
                <w:w w:val="100"/>
                <w:kern w:val="0"/>
                <w:sz w:val="19"/>
                <w:szCs w:val="19"/>
              </w:rPr>
              <w:t>If a person reports a reportable incident to an approved provider, the provider is responsible for taking reasonable measures to ensure that the fact that the person was the maker of the report is not disclosed, except to one or more of the following (s 54-8(2)):</w:t>
            </w:r>
          </w:p>
          <w:p w14:paraId="091F9A85" w14:textId="77777777" w:rsidR="00030303" w:rsidRPr="00DB2B77" w:rsidRDefault="00030303" w:rsidP="00030303">
            <w:pPr>
              <w:numPr>
                <w:ilvl w:val="0"/>
                <w:numId w:val="11"/>
              </w:numPr>
              <w:spacing w:after="0" w:line="240" w:lineRule="auto"/>
              <w:rPr>
                <w:rFonts w:eastAsia="Times New Roman"/>
                <w:w w:val="100"/>
                <w:kern w:val="0"/>
                <w:sz w:val="19"/>
                <w:szCs w:val="19"/>
              </w:rPr>
            </w:pPr>
            <w:r w:rsidRPr="00DB2B77">
              <w:rPr>
                <w:rFonts w:eastAsia="Times New Roman"/>
                <w:w w:val="100"/>
                <w:kern w:val="0"/>
                <w:sz w:val="19"/>
                <w:szCs w:val="19"/>
              </w:rPr>
              <w:t>the Quality and Safety Commissioner;</w:t>
            </w:r>
          </w:p>
          <w:p w14:paraId="1C77893B" w14:textId="77777777" w:rsidR="00030303" w:rsidRPr="00DB2B77" w:rsidRDefault="00030303" w:rsidP="00030303">
            <w:pPr>
              <w:numPr>
                <w:ilvl w:val="0"/>
                <w:numId w:val="11"/>
              </w:numPr>
              <w:spacing w:after="0" w:line="240" w:lineRule="auto"/>
              <w:rPr>
                <w:rFonts w:eastAsia="Times New Roman"/>
                <w:w w:val="100"/>
                <w:kern w:val="0"/>
                <w:sz w:val="19"/>
                <w:szCs w:val="19"/>
              </w:rPr>
            </w:pPr>
            <w:r w:rsidRPr="00DB2B77">
              <w:rPr>
                <w:rFonts w:eastAsia="Times New Roman"/>
                <w:w w:val="100"/>
                <w:kern w:val="0"/>
                <w:sz w:val="19"/>
                <w:szCs w:val="19"/>
              </w:rPr>
              <w:t xml:space="preserve">a person, authority or court to which the approved provider is required by a law of the Commonwealth or </w:t>
            </w:r>
            <w:r w:rsidRPr="00DB2B77">
              <w:rPr>
                <w:rFonts w:eastAsia="Times New Roman"/>
                <w:w w:val="100"/>
                <w:kern w:val="0"/>
                <w:sz w:val="19"/>
                <w:szCs w:val="19"/>
              </w:rPr>
              <w:lastRenderedPageBreak/>
              <w:t>a State or Territory to disclose the fact;</w:t>
            </w:r>
          </w:p>
          <w:p w14:paraId="30D856A7" w14:textId="77777777" w:rsidR="00030303" w:rsidRPr="00DB2B77" w:rsidRDefault="00030303" w:rsidP="00030303">
            <w:pPr>
              <w:numPr>
                <w:ilvl w:val="0"/>
                <w:numId w:val="11"/>
              </w:numPr>
              <w:spacing w:after="0" w:line="240" w:lineRule="auto"/>
              <w:rPr>
                <w:rFonts w:eastAsia="Times New Roman"/>
                <w:w w:val="100"/>
                <w:kern w:val="0"/>
                <w:sz w:val="19"/>
                <w:szCs w:val="19"/>
              </w:rPr>
            </w:pPr>
            <w:r w:rsidRPr="00DB2B77">
              <w:rPr>
                <w:rFonts w:eastAsia="Times New Roman"/>
                <w:w w:val="100"/>
                <w:kern w:val="0"/>
                <w:sz w:val="19"/>
                <w:szCs w:val="19"/>
              </w:rPr>
              <w:t>one of the approved provider’s key personnel;</w:t>
            </w:r>
          </w:p>
          <w:p w14:paraId="768123AD" w14:textId="77777777" w:rsidR="00030303" w:rsidRPr="00DB2B77" w:rsidRDefault="00030303" w:rsidP="00030303">
            <w:pPr>
              <w:numPr>
                <w:ilvl w:val="0"/>
                <w:numId w:val="11"/>
              </w:numPr>
              <w:spacing w:after="0" w:line="240" w:lineRule="auto"/>
              <w:rPr>
                <w:rFonts w:eastAsia="Times New Roman"/>
                <w:w w:val="100"/>
                <w:kern w:val="0"/>
                <w:sz w:val="19"/>
                <w:szCs w:val="19"/>
              </w:rPr>
            </w:pPr>
            <w:proofErr w:type="gramStart"/>
            <w:r w:rsidRPr="00DB2B77">
              <w:rPr>
                <w:rFonts w:eastAsia="Times New Roman"/>
                <w:w w:val="100"/>
                <w:kern w:val="0"/>
                <w:sz w:val="19"/>
                <w:szCs w:val="19"/>
              </w:rPr>
              <w:t>a police</w:t>
            </w:r>
            <w:proofErr w:type="gramEnd"/>
            <w:r w:rsidRPr="00DB2B77">
              <w:rPr>
                <w:rFonts w:eastAsia="Times New Roman"/>
                <w:w w:val="100"/>
                <w:kern w:val="0"/>
                <w:sz w:val="19"/>
                <w:szCs w:val="19"/>
              </w:rPr>
              <w:t xml:space="preserve"> officer.</w:t>
            </w:r>
          </w:p>
          <w:p w14:paraId="534289F9" w14:textId="77777777" w:rsidR="00030303" w:rsidRPr="00DB2B77" w:rsidRDefault="00030303" w:rsidP="00030303">
            <w:pPr>
              <w:spacing w:after="0" w:line="240" w:lineRule="auto"/>
              <w:rPr>
                <w:rFonts w:eastAsia="Times New Roman"/>
                <w:w w:val="100"/>
                <w:kern w:val="0"/>
                <w:sz w:val="19"/>
                <w:szCs w:val="19"/>
              </w:rPr>
            </w:pPr>
          </w:p>
          <w:p w14:paraId="3AB4057A" w14:textId="77777777" w:rsidR="00030303" w:rsidRPr="00DB2B77" w:rsidRDefault="00030303" w:rsidP="00030303">
            <w:pPr>
              <w:spacing w:after="0" w:line="240" w:lineRule="auto"/>
              <w:rPr>
                <w:rFonts w:eastAsia="Times New Roman"/>
                <w:w w:val="100"/>
                <w:kern w:val="0"/>
                <w:sz w:val="19"/>
                <w:szCs w:val="19"/>
              </w:rPr>
            </w:pPr>
            <w:r w:rsidRPr="00DB2B77">
              <w:rPr>
                <w:rFonts w:eastAsia="Times New Roman"/>
                <w:w w:val="100"/>
                <w:kern w:val="0"/>
                <w:sz w:val="19"/>
                <w:szCs w:val="19"/>
              </w:rPr>
              <w:t>If a person reports a reportable incident to someone (the report recipient) who is (s 54-8(3)):</w:t>
            </w:r>
          </w:p>
          <w:p w14:paraId="2742E201" w14:textId="77777777" w:rsidR="00030303" w:rsidRPr="00DB2B77" w:rsidRDefault="00030303" w:rsidP="00030303">
            <w:pPr>
              <w:numPr>
                <w:ilvl w:val="0"/>
                <w:numId w:val="11"/>
              </w:numPr>
              <w:spacing w:after="0" w:line="240" w:lineRule="auto"/>
              <w:rPr>
                <w:rFonts w:eastAsia="Times New Roman"/>
                <w:w w:val="100"/>
                <w:kern w:val="0"/>
                <w:sz w:val="19"/>
                <w:szCs w:val="19"/>
              </w:rPr>
            </w:pPr>
            <w:r w:rsidRPr="00DB2B77">
              <w:rPr>
                <w:rFonts w:eastAsia="Times New Roman"/>
                <w:w w:val="100"/>
                <w:kern w:val="0"/>
                <w:sz w:val="19"/>
                <w:szCs w:val="19"/>
              </w:rPr>
              <w:t>one of an approved provider’s key personnel; or</w:t>
            </w:r>
          </w:p>
          <w:p w14:paraId="4BE4FB2E" w14:textId="77777777" w:rsidR="00030303" w:rsidRPr="00DB2B77" w:rsidRDefault="00030303" w:rsidP="00030303">
            <w:pPr>
              <w:numPr>
                <w:ilvl w:val="0"/>
                <w:numId w:val="11"/>
              </w:numPr>
              <w:spacing w:after="0" w:line="240" w:lineRule="auto"/>
              <w:rPr>
                <w:rFonts w:eastAsia="Times New Roman"/>
                <w:w w:val="100"/>
                <w:kern w:val="0"/>
                <w:sz w:val="19"/>
                <w:szCs w:val="19"/>
              </w:rPr>
            </w:pPr>
            <w:r w:rsidRPr="00DB2B77">
              <w:rPr>
                <w:rFonts w:eastAsia="Times New Roman"/>
                <w:w w:val="100"/>
                <w:kern w:val="0"/>
                <w:sz w:val="19"/>
                <w:szCs w:val="19"/>
              </w:rPr>
              <w:t>a person authorised by an approved provider to receive reports of reportable incidents;</w:t>
            </w:r>
          </w:p>
          <w:p w14:paraId="2A85041B" w14:textId="77777777" w:rsidR="00030303" w:rsidRPr="00DB2B77" w:rsidRDefault="00030303" w:rsidP="00030303">
            <w:pPr>
              <w:spacing w:after="0" w:line="240" w:lineRule="auto"/>
              <w:contextualSpacing/>
              <w:rPr>
                <w:rFonts w:eastAsia="Times New Roman"/>
                <w:w w:val="100"/>
                <w:kern w:val="0"/>
                <w:sz w:val="19"/>
                <w:szCs w:val="19"/>
              </w:rPr>
            </w:pPr>
            <w:r w:rsidRPr="00DB2B77">
              <w:rPr>
                <w:rFonts w:eastAsia="Times New Roman"/>
                <w:w w:val="100"/>
                <w:kern w:val="0"/>
                <w:sz w:val="19"/>
                <w:szCs w:val="19"/>
              </w:rPr>
              <w:t>the provider is responsible for taking reasonable measures to ensure that the report recipient does not disclose the fact that the person was the maker of the report, except to the provider or a person described above.</w:t>
            </w:r>
          </w:p>
        </w:tc>
        <w:tc>
          <w:tcPr>
            <w:tcW w:w="0" w:type="auto"/>
            <w:vAlign w:val="top"/>
          </w:tcPr>
          <w:p w14:paraId="4BFB44F8" w14:textId="77777777" w:rsidR="00030303" w:rsidRPr="00DB2B77" w:rsidRDefault="00030303" w:rsidP="00030303">
            <w:pPr>
              <w:spacing w:after="0" w:line="240" w:lineRule="auto"/>
              <w:rPr>
                <w:rFonts w:eastAsia="Times New Roman"/>
                <w:w w:val="100"/>
                <w:kern w:val="0"/>
                <w:sz w:val="19"/>
                <w:szCs w:val="19"/>
              </w:rPr>
            </w:pPr>
            <w:r w:rsidRPr="00DB2B77">
              <w:rPr>
                <w:rFonts w:eastAsia="Times New Roman"/>
                <w:w w:val="100"/>
                <w:kern w:val="0"/>
                <w:sz w:val="19"/>
                <w:szCs w:val="19"/>
              </w:rPr>
              <w:lastRenderedPageBreak/>
              <w:t>If a person (the discloser) makes a disclosure of information that qualifies for protection under this Part, the discloser or any other person is not to be required (s 1317AG):</w:t>
            </w:r>
          </w:p>
          <w:p w14:paraId="0191AAAD"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to disclose to a court or tribunal:</w:t>
            </w:r>
          </w:p>
          <w:p w14:paraId="4C4D5463" w14:textId="77777777" w:rsidR="00030303" w:rsidRPr="00DB2B77" w:rsidRDefault="00030303" w:rsidP="00030303">
            <w:pPr>
              <w:numPr>
                <w:ilvl w:val="1"/>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the identity of the discloser; or</w:t>
            </w:r>
          </w:p>
          <w:p w14:paraId="4DAB33E1" w14:textId="77777777" w:rsidR="00030303" w:rsidRPr="00DB2B77" w:rsidRDefault="00030303" w:rsidP="00030303">
            <w:pPr>
              <w:numPr>
                <w:ilvl w:val="1"/>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information that is likely to lead to the identification of the discloser; or</w:t>
            </w:r>
          </w:p>
          <w:p w14:paraId="3BF222D8"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to produce to a court or tribunal a document containing:</w:t>
            </w:r>
          </w:p>
          <w:p w14:paraId="532F85B8" w14:textId="77777777" w:rsidR="00030303" w:rsidRPr="00DB2B77" w:rsidRDefault="00030303" w:rsidP="00030303">
            <w:pPr>
              <w:numPr>
                <w:ilvl w:val="1"/>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the identity of the discloser; or</w:t>
            </w:r>
          </w:p>
          <w:p w14:paraId="6129C819" w14:textId="77777777" w:rsidR="00030303" w:rsidRPr="00DB2B77" w:rsidRDefault="00030303" w:rsidP="00030303">
            <w:pPr>
              <w:numPr>
                <w:ilvl w:val="1"/>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 xml:space="preserve">information that is likely to lead to the </w:t>
            </w:r>
            <w:r w:rsidRPr="00DB2B77">
              <w:rPr>
                <w:rFonts w:eastAsia="Times New Roman"/>
                <w:w w:val="100"/>
                <w:kern w:val="0"/>
                <w:sz w:val="19"/>
                <w:szCs w:val="19"/>
              </w:rPr>
              <w:lastRenderedPageBreak/>
              <w:t>identification of the discloser;</w:t>
            </w:r>
          </w:p>
          <w:p w14:paraId="1AEE4246" w14:textId="77777777" w:rsidR="00030303" w:rsidRPr="00DB2B77" w:rsidRDefault="00030303" w:rsidP="00030303">
            <w:pPr>
              <w:spacing w:after="0" w:line="240" w:lineRule="auto"/>
              <w:rPr>
                <w:rFonts w:eastAsia="Times New Roman"/>
                <w:w w:val="100"/>
                <w:kern w:val="0"/>
                <w:sz w:val="19"/>
                <w:szCs w:val="19"/>
              </w:rPr>
            </w:pPr>
            <w:r w:rsidRPr="00DB2B77">
              <w:rPr>
                <w:rFonts w:eastAsia="Times New Roman"/>
                <w:w w:val="100"/>
                <w:kern w:val="0"/>
                <w:sz w:val="19"/>
                <w:szCs w:val="19"/>
              </w:rPr>
              <w:t>except where:</w:t>
            </w:r>
          </w:p>
          <w:p w14:paraId="41712D14"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it is necessary to do so for the purposes of giving effect to this Part; or</w:t>
            </w:r>
          </w:p>
          <w:p w14:paraId="2DDB3434"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the court or tribunal thinks it necessary in the interests of justice to do so.</w:t>
            </w:r>
          </w:p>
        </w:tc>
        <w:tc>
          <w:tcPr>
            <w:tcW w:w="0" w:type="auto"/>
            <w:vAlign w:val="top"/>
          </w:tcPr>
          <w:p w14:paraId="4D6E83DC" w14:textId="77777777" w:rsidR="00030303" w:rsidRPr="00DB2B77" w:rsidRDefault="00030303" w:rsidP="00030303">
            <w:pPr>
              <w:spacing w:after="0" w:line="240" w:lineRule="auto"/>
              <w:ind w:left="360"/>
              <w:contextualSpacing/>
              <w:rPr>
                <w:rFonts w:eastAsia="Times New Roman"/>
                <w:w w:val="100"/>
                <w:kern w:val="0"/>
                <w:sz w:val="19"/>
                <w:szCs w:val="19"/>
              </w:rPr>
            </w:pPr>
          </w:p>
        </w:tc>
        <w:tc>
          <w:tcPr>
            <w:tcW w:w="0" w:type="auto"/>
            <w:vAlign w:val="top"/>
          </w:tcPr>
          <w:p w14:paraId="23C56803" w14:textId="77777777" w:rsidR="00030303" w:rsidRPr="00DB2B77" w:rsidRDefault="00030303" w:rsidP="00030303">
            <w:pPr>
              <w:spacing w:after="0" w:line="240" w:lineRule="auto"/>
              <w:rPr>
                <w:rFonts w:eastAsia="Times New Roman"/>
                <w:b/>
                <w:w w:val="100"/>
                <w:kern w:val="0"/>
                <w:sz w:val="19"/>
                <w:szCs w:val="19"/>
              </w:rPr>
            </w:pPr>
            <w:r w:rsidRPr="00DB2B77">
              <w:rPr>
                <w:rFonts w:eastAsia="Times New Roman"/>
                <w:w w:val="100"/>
                <w:kern w:val="0"/>
                <w:sz w:val="19"/>
                <w:szCs w:val="19"/>
              </w:rPr>
              <w:t>If a person (the discloser) makes a disclosure of information that qualifies for protection under this Part, the discloser or any other person is not to be required (s 14ZZZB):</w:t>
            </w:r>
          </w:p>
          <w:p w14:paraId="673413CE"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to disclose to a court or tribunal:</w:t>
            </w:r>
          </w:p>
          <w:p w14:paraId="53E8A212" w14:textId="77777777" w:rsidR="00030303" w:rsidRPr="00DB2B77" w:rsidRDefault="00030303" w:rsidP="00030303">
            <w:pPr>
              <w:numPr>
                <w:ilvl w:val="1"/>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the identity of the discloser; or</w:t>
            </w:r>
          </w:p>
          <w:p w14:paraId="1E9E7D62" w14:textId="77777777" w:rsidR="00030303" w:rsidRPr="00DB2B77" w:rsidRDefault="00030303" w:rsidP="00030303">
            <w:pPr>
              <w:numPr>
                <w:ilvl w:val="1"/>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information that is likely to lead to the identification of the discloser; or</w:t>
            </w:r>
          </w:p>
          <w:p w14:paraId="413CE135"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to produce to a court or tribunal a document containing:</w:t>
            </w:r>
          </w:p>
          <w:p w14:paraId="57988877" w14:textId="77777777" w:rsidR="00030303" w:rsidRPr="00DB2B77" w:rsidRDefault="00030303" w:rsidP="00030303">
            <w:pPr>
              <w:numPr>
                <w:ilvl w:val="1"/>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lastRenderedPageBreak/>
              <w:t>the identity of the discloser; or</w:t>
            </w:r>
          </w:p>
          <w:p w14:paraId="11B831BF" w14:textId="77777777" w:rsidR="00030303" w:rsidRPr="00DB2B77" w:rsidRDefault="00030303" w:rsidP="00030303">
            <w:pPr>
              <w:numPr>
                <w:ilvl w:val="1"/>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information that is likely to lead to the identification of the discloser;</w:t>
            </w:r>
          </w:p>
          <w:p w14:paraId="6259312B" w14:textId="77777777" w:rsidR="00030303" w:rsidRPr="00DB2B77" w:rsidRDefault="00030303" w:rsidP="00030303">
            <w:pPr>
              <w:spacing w:after="0" w:line="240" w:lineRule="auto"/>
              <w:rPr>
                <w:rFonts w:eastAsia="Times New Roman"/>
                <w:w w:val="100"/>
                <w:kern w:val="0"/>
                <w:sz w:val="19"/>
                <w:szCs w:val="19"/>
              </w:rPr>
            </w:pPr>
            <w:r w:rsidRPr="00DB2B77">
              <w:rPr>
                <w:rFonts w:eastAsia="Times New Roman"/>
                <w:w w:val="100"/>
                <w:kern w:val="0"/>
                <w:sz w:val="19"/>
                <w:szCs w:val="19"/>
              </w:rPr>
              <w:t>except where:</w:t>
            </w:r>
          </w:p>
          <w:p w14:paraId="12C03516"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it is necessary to do so for the purposes of giving effect to this Part; or</w:t>
            </w:r>
          </w:p>
          <w:p w14:paraId="72C14722"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the court or tribunal thinks it necessary in the interests of justice to do so.</w:t>
            </w:r>
          </w:p>
        </w:tc>
      </w:tr>
      <w:tr w:rsidR="00030303" w:rsidRPr="00DB2B77" w14:paraId="3D623194" w14:textId="77777777" w:rsidTr="00030303">
        <w:tc>
          <w:tcPr>
            <w:tcW w:w="0" w:type="auto"/>
            <w:vAlign w:val="top"/>
            <w:hideMark/>
          </w:tcPr>
          <w:p w14:paraId="642B936F" w14:textId="77777777" w:rsidR="00030303" w:rsidRPr="00DB2B77" w:rsidRDefault="00030303" w:rsidP="00030303">
            <w:pPr>
              <w:spacing w:after="0" w:line="240" w:lineRule="auto"/>
              <w:rPr>
                <w:rFonts w:eastAsia="Times New Roman"/>
                <w:b/>
                <w:w w:val="100"/>
                <w:kern w:val="0"/>
                <w:sz w:val="19"/>
                <w:szCs w:val="19"/>
              </w:rPr>
            </w:pPr>
            <w:r w:rsidRPr="00DB2B77">
              <w:rPr>
                <w:rFonts w:eastAsia="Times New Roman"/>
                <w:b/>
                <w:w w:val="100"/>
                <w:kern w:val="0"/>
                <w:sz w:val="19"/>
                <w:szCs w:val="19"/>
              </w:rPr>
              <w:lastRenderedPageBreak/>
              <w:t xml:space="preserve">Costs only if proceedings </w:t>
            </w:r>
            <w:r w:rsidRPr="00DB2B77">
              <w:rPr>
                <w:rFonts w:eastAsia="Times New Roman"/>
                <w:b/>
                <w:w w:val="100"/>
                <w:kern w:val="0"/>
                <w:sz w:val="19"/>
                <w:szCs w:val="19"/>
              </w:rPr>
              <w:lastRenderedPageBreak/>
              <w:t>instituted vexatiously</w:t>
            </w:r>
          </w:p>
        </w:tc>
        <w:tc>
          <w:tcPr>
            <w:tcW w:w="0" w:type="auto"/>
            <w:vAlign w:val="top"/>
          </w:tcPr>
          <w:p w14:paraId="76C3FFEF" w14:textId="77777777" w:rsidR="00030303" w:rsidRPr="00DB2B77" w:rsidRDefault="00030303" w:rsidP="00030303">
            <w:pPr>
              <w:spacing w:after="0" w:line="240" w:lineRule="auto"/>
              <w:rPr>
                <w:rFonts w:eastAsia="Times New Roman"/>
                <w:w w:val="100"/>
                <w:kern w:val="0"/>
                <w:sz w:val="19"/>
                <w:szCs w:val="19"/>
              </w:rPr>
            </w:pPr>
            <w:r w:rsidRPr="00DB2B77">
              <w:rPr>
                <w:rFonts w:eastAsia="Times New Roman"/>
                <w:w w:val="100"/>
                <w:kern w:val="0"/>
                <w:sz w:val="19"/>
                <w:szCs w:val="19"/>
              </w:rPr>
              <w:lastRenderedPageBreak/>
              <w:t xml:space="preserve">Applies if the applicant makes the application for an order under s 14, 15 or </w:t>
            </w:r>
            <w:r w:rsidRPr="00DB2B77">
              <w:rPr>
                <w:rFonts w:eastAsia="Times New Roman"/>
                <w:w w:val="100"/>
                <w:kern w:val="0"/>
                <w:sz w:val="19"/>
                <w:szCs w:val="19"/>
              </w:rPr>
              <w:lastRenderedPageBreak/>
              <w:t>16. The applicant must not be ordered to pay costs incurred by another party unless (s 18):</w:t>
            </w:r>
          </w:p>
          <w:p w14:paraId="583E6244"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the court is satisfied that the target instituted the proceedings vexatiously or without reasonable cause; or</w:t>
            </w:r>
          </w:p>
          <w:p w14:paraId="6C4CC103"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 xml:space="preserve"> the court is satisfied that the target’s unreasonable act or omission caused the other party to incur the costs. </w:t>
            </w:r>
          </w:p>
        </w:tc>
        <w:tc>
          <w:tcPr>
            <w:tcW w:w="0" w:type="auto"/>
            <w:vAlign w:val="top"/>
          </w:tcPr>
          <w:p w14:paraId="57958906" w14:textId="77777777" w:rsidR="00030303" w:rsidRPr="00DB2B77" w:rsidRDefault="00030303" w:rsidP="00030303">
            <w:pPr>
              <w:spacing w:after="0" w:line="240" w:lineRule="auto"/>
              <w:rPr>
                <w:rFonts w:eastAsia="Times New Roman"/>
                <w:w w:val="100"/>
                <w:kern w:val="0"/>
                <w:sz w:val="19"/>
                <w:szCs w:val="19"/>
              </w:rPr>
            </w:pPr>
          </w:p>
        </w:tc>
        <w:tc>
          <w:tcPr>
            <w:tcW w:w="0" w:type="auto"/>
            <w:vAlign w:val="top"/>
          </w:tcPr>
          <w:p w14:paraId="1EB68B9D" w14:textId="77777777" w:rsidR="00030303" w:rsidRPr="00DB2B77" w:rsidRDefault="00030303" w:rsidP="00030303">
            <w:pPr>
              <w:spacing w:after="0" w:line="240" w:lineRule="auto"/>
              <w:contextualSpacing/>
              <w:rPr>
                <w:rFonts w:eastAsia="Times New Roman"/>
                <w:w w:val="100"/>
                <w:kern w:val="0"/>
                <w:sz w:val="19"/>
                <w:szCs w:val="19"/>
              </w:rPr>
            </w:pPr>
          </w:p>
        </w:tc>
        <w:tc>
          <w:tcPr>
            <w:tcW w:w="0" w:type="auto"/>
            <w:vAlign w:val="top"/>
          </w:tcPr>
          <w:p w14:paraId="5C16D71B" w14:textId="77777777" w:rsidR="00030303" w:rsidRPr="00DB2B77" w:rsidRDefault="00030303" w:rsidP="00030303">
            <w:pPr>
              <w:spacing w:after="0" w:line="240" w:lineRule="auto"/>
              <w:rPr>
                <w:rFonts w:eastAsia="Times New Roman"/>
                <w:w w:val="100"/>
                <w:kern w:val="0"/>
                <w:sz w:val="19"/>
                <w:szCs w:val="19"/>
              </w:rPr>
            </w:pPr>
            <w:r w:rsidRPr="00DB2B77">
              <w:rPr>
                <w:rFonts w:eastAsia="Times New Roman"/>
                <w:w w:val="100"/>
                <w:kern w:val="0"/>
                <w:sz w:val="19"/>
                <w:szCs w:val="19"/>
              </w:rPr>
              <w:t xml:space="preserve">Applies if the claimant makes the application for an order under s 1317AE. </w:t>
            </w:r>
            <w:r w:rsidRPr="00DB2B77">
              <w:rPr>
                <w:rFonts w:eastAsia="Times New Roman"/>
                <w:w w:val="100"/>
                <w:kern w:val="0"/>
                <w:sz w:val="19"/>
                <w:szCs w:val="19"/>
              </w:rPr>
              <w:lastRenderedPageBreak/>
              <w:t>The claimant must not be ordered to pay costs incurred by another party unless (s 1317AH):</w:t>
            </w:r>
          </w:p>
          <w:p w14:paraId="7347152D"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the court is satisfied that the claimant instituted the proceedings vexatiously or without reasonable cause; or</w:t>
            </w:r>
          </w:p>
          <w:p w14:paraId="09044E8B"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the court is satisfied that the claimant’s unreasonable act or omission caused the other party to incur the costs.</w:t>
            </w:r>
          </w:p>
        </w:tc>
        <w:tc>
          <w:tcPr>
            <w:tcW w:w="0" w:type="auto"/>
            <w:vAlign w:val="top"/>
          </w:tcPr>
          <w:p w14:paraId="0545F341" w14:textId="77777777" w:rsidR="00030303" w:rsidRPr="00DB2B77" w:rsidRDefault="00030303" w:rsidP="00030303">
            <w:pPr>
              <w:spacing w:after="0" w:line="240" w:lineRule="auto"/>
              <w:rPr>
                <w:rFonts w:eastAsia="Times New Roman"/>
                <w:w w:val="100"/>
                <w:kern w:val="0"/>
                <w:sz w:val="19"/>
                <w:szCs w:val="19"/>
              </w:rPr>
            </w:pPr>
            <w:r w:rsidRPr="00DB2B77">
              <w:rPr>
                <w:rFonts w:eastAsia="Times New Roman"/>
                <w:w w:val="100"/>
                <w:kern w:val="0"/>
                <w:sz w:val="19"/>
                <w:szCs w:val="19"/>
              </w:rPr>
              <w:lastRenderedPageBreak/>
              <w:t xml:space="preserve">Applies if the target makes the application for an order under s </w:t>
            </w:r>
            <w:r w:rsidRPr="00DB2B77">
              <w:rPr>
                <w:rFonts w:eastAsia="Times New Roman"/>
                <w:w w:val="100"/>
                <w:kern w:val="0"/>
                <w:sz w:val="19"/>
                <w:szCs w:val="19"/>
              </w:rPr>
              <w:lastRenderedPageBreak/>
              <w:t>337BC. The target must not be ordered to pay costs incurred by another party unless (s 337BC):</w:t>
            </w:r>
          </w:p>
          <w:p w14:paraId="6791C666"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the court is satisfied that the target instituted the proceedings vexatiously or without reasonable cause; or</w:t>
            </w:r>
          </w:p>
          <w:p w14:paraId="5E752353"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 xml:space="preserve"> the court is satisfied that the target’s unreasonable act or omission caused the other party to incur the costs.</w:t>
            </w:r>
          </w:p>
        </w:tc>
        <w:tc>
          <w:tcPr>
            <w:tcW w:w="0" w:type="auto"/>
            <w:vAlign w:val="top"/>
          </w:tcPr>
          <w:p w14:paraId="4ED9130C" w14:textId="77777777" w:rsidR="00030303" w:rsidRPr="00DB2B77" w:rsidRDefault="00030303" w:rsidP="00030303">
            <w:pPr>
              <w:spacing w:after="0" w:line="240" w:lineRule="auto"/>
              <w:rPr>
                <w:rFonts w:eastAsia="Times New Roman"/>
                <w:w w:val="100"/>
                <w:kern w:val="0"/>
                <w:sz w:val="19"/>
                <w:szCs w:val="19"/>
              </w:rPr>
            </w:pPr>
            <w:r w:rsidRPr="00DB2B77">
              <w:rPr>
                <w:rFonts w:eastAsia="Times New Roman"/>
                <w:w w:val="100"/>
                <w:kern w:val="0"/>
                <w:sz w:val="19"/>
                <w:szCs w:val="19"/>
              </w:rPr>
              <w:lastRenderedPageBreak/>
              <w:t xml:space="preserve">Applies if the claimant makes the application for an order under s </w:t>
            </w:r>
            <w:r w:rsidRPr="00DB2B77">
              <w:rPr>
                <w:rFonts w:eastAsia="Times New Roman"/>
                <w:w w:val="100"/>
                <w:kern w:val="0"/>
                <w:sz w:val="19"/>
                <w:szCs w:val="19"/>
              </w:rPr>
              <w:lastRenderedPageBreak/>
              <w:t>14ZZZA. The claimant must not be ordered to pay costs incurred by another party unless (s 14ZZZC):</w:t>
            </w:r>
          </w:p>
          <w:p w14:paraId="78BCA2C6"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the court is satisfied that the claimant instituted the proceedings vexatiously or without reasonable cause; or</w:t>
            </w:r>
          </w:p>
          <w:p w14:paraId="77BD89F3"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the court is satisfied that the claimant’s unreasonable act or omission caused the other party to incur the costs.</w:t>
            </w:r>
          </w:p>
        </w:tc>
      </w:tr>
      <w:tr w:rsidR="00030303" w:rsidRPr="00DB2B77" w14:paraId="085AAB48" w14:textId="77777777" w:rsidTr="00030303">
        <w:tc>
          <w:tcPr>
            <w:tcW w:w="0" w:type="auto"/>
            <w:vAlign w:val="top"/>
            <w:hideMark/>
          </w:tcPr>
          <w:p w14:paraId="7B14CFCE" w14:textId="77777777" w:rsidR="00030303" w:rsidRPr="00DB2B77" w:rsidRDefault="00030303" w:rsidP="00030303">
            <w:pPr>
              <w:spacing w:after="0" w:line="240" w:lineRule="auto"/>
              <w:rPr>
                <w:rFonts w:eastAsia="Times New Roman"/>
                <w:b/>
                <w:w w:val="100"/>
                <w:kern w:val="0"/>
                <w:sz w:val="19"/>
                <w:szCs w:val="19"/>
              </w:rPr>
            </w:pPr>
            <w:r w:rsidRPr="00DB2B77">
              <w:rPr>
                <w:rFonts w:eastAsia="Times New Roman"/>
                <w:b/>
                <w:w w:val="100"/>
                <w:kern w:val="0"/>
                <w:sz w:val="19"/>
                <w:szCs w:val="19"/>
              </w:rPr>
              <w:lastRenderedPageBreak/>
              <w:t>Civil penalties</w:t>
            </w:r>
          </w:p>
        </w:tc>
        <w:tc>
          <w:tcPr>
            <w:tcW w:w="0" w:type="auto"/>
            <w:vAlign w:val="top"/>
          </w:tcPr>
          <w:p w14:paraId="68751841" w14:textId="77777777" w:rsidR="00030303" w:rsidRPr="00DB2B77" w:rsidRDefault="00030303" w:rsidP="00030303">
            <w:pPr>
              <w:spacing w:after="0" w:line="240" w:lineRule="auto"/>
              <w:rPr>
                <w:rFonts w:eastAsia="Times New Roman"/>
                <w:b/>
                <w:w w:val="100"/>
                <w:kern w:val="0"/>
                <w:sz w:val="19"/>
                <w:szCs w:val="19"/>
              </w:rPr>
            </w:pPr>
          </w:p>
        </w:tc>
        <w:tc>
          <w:tcPr>
            <w:tcW w:w="0" w:type="auto"/>
            <w:vAlign w:val="top"/>
          </w:tcPr>
          <w:p w14:paraId="6F3070B8" w14:textId="77777777" w:rsidR="00030303" w:rsidRPr="00DB2B77" w:rsidRDefault="00030303" w:rsidP="00030303">
            <w:pPr>
              <w:spacing w:after="0" w:line="240" w:lineRule="auto"/>
              <w:rPr>
                <w:rFonts w:eastAsia="Times New Roman"/>
                <w:i/>
                <w:w w:val="100"/>
                <w:kern w:val="0"/>
                <w:sz w:val="19"/>
                <w:szCs w:val="19"/>
              </w:rPr>
            </w:pPr>
            <w:proofErr w:type="gramStart"/>
            <w:r w:rsidRPr="00DB2B77">
              <w:rPr>
                <w:rFonts w:eastAsia="Times New Roman"/>
                <w:i/>
                <w:w w:val="100"/>
                <w:kern w:val="0"/>
                <w:sz w:val="19"/>
                <w:szCs w:val="19"/>
              </w:rPr>
              <w:t>Actually</w:t>
            </w:r>
            <w:proofErr w:type="gramEnd"/>
            <w:r w:rsidRPr="00DB2B77">
              <w:rPr>
                <w:rFonts w:eastAsia="Times New Roman"/>
                <w:i/>
                <w:w w:val="100"/>
                <w:kern w:val="0"/>
                <w:sz w:val="19"/>
                <w:szCs w:val="19"/>
              </w:rPr>
              <w:t xml:space="preserve"> causing detriment to another person</w:t>
            </w:r>
          </w:p>
          <w:p w14:paraId="30612D65" w14:textId="77777777" w:rsidR="00030303" w:rsidRPr="00DB2B77" w:rsidRDefault="00030303" w:rsidP="00030303">
            <w:pPr>
              <w:spacing w:after="0" w:line="240" w:lineRule="auto"/>
              <w:rPr>
                <w:rFonts w:eastAsia="Times New Roman"/>
                <w:w w:val="100"/>
                <w:kern w:val="0"/>
                <w:sz w:val="19"/>
                <w:szCs w:val="19"/>
              </w:rPr>
            </w:pPr>
          </w:p>
          <w:p w14:paraId="1B173A8F" w14:textId="77777777" w:rsidR="00030303" w:rsidRPr="00DB2B77" w:rsidRDefault="00030303" w:rsidP="00030303">
            <w:pPr>
              <w:spacing w:after="0" w:line="240" w:lineRule="auto"/>
              <w:rPr>
                <w:rFonts w:eastAsia="Times New Roman"/>
                <w:b/>
                <w:w w:val="100"/>
                <w:kern w:val="0"/>
                <w:sz w:val="19"/>
                <w:szCs w:val="19"/>
              </w:rPr>
            </w:pPr>
            <w:r w:rsidRPr="00DB2B77">
              <w:rPr>
                <w:rFonts w:eastAsia="Times New Roman"/>
                <w:w w:val="100"/>
                <w:kern w:val="0"/>
                <w:sz w:val="19"/>
                <w:szCs w:val="19"/>
              </w:rPr>
              <w:t>A person (the first person) contravenes this subsection if (s 73</w:t>
            </w:r>
            <w:proofErr w:type="gramStart"/>
            <w:r w:rsidRPr="00DB2B77">
              <w:rPr>
                <w:rFonts w:eastAsia="Times New Roman"/>
                <w:w w:val="100"/>
                <w:kern w:val="0"/>
                <w:sz w:val="19"/>
                <w:szCs w:val="19"/>
              </w:rPr>
              <w:t>ZC(</w:t>
            </w:r>
            <w:proofErr w:type="gramEnd"/>
            <w:r w:rsidRPr="00DB2B77">
              <w:rPr>
                <w:rFonts w:eastAsia="Times New Roman"/>
                <w:w w:val="100"/>
                <w:kern w:val="0"/>
                <w:sz w:val="19"/>
                <w:szCs w:val="19"/>
              </w:rPr>
              <w:t>1)):</w:t>
            </w:r>
          </w:p>
          <w:p w14:paraId="652E42A2"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the first person engages in conduct; and</w:t>
            </w:r>
          </w:p>
          <w:p w14:paraId="3ABF3404"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 xml:space="preserve">the first person’s conduct causes any detriment to another person </w:t>
            </w:r>
            <w:r w:rsidRPr="00DB2B77">
              <w:rPr>
                <w:rFonts w:eastAsia="Times New Roman"/>
                <w:w w:val="100"/>
                <w:kern w:val="0"/>
                <w:sz w:val="19"/>
                <w:szCs w:val="19"/>
              </w:rPr>
              <w:lastRenderedPageBreak/>
              <w:t>(the second person); and</w:t>
            </w:r>
          </w:p>
          <w:p w14:paraId="543B5E42"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the first person intends that his or her conduct cause detriment to the second person; and</w:t>
            </w:r>
          </w:p>
          <w:p w14:paraId="049BFDE5"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the first person engages in his or her conduct because the second person or a third person made a disclosure that qualifies for protection under this Division.</w:t>
            </w:r>
          </w:p>
          <w:p w14:paraId="6F67ED97" w14:textId="77777777" w:rsidR="00030303" w:rsidRPr="00DB2B77" w:rsidRDefault="00030303" w:rsidP="00030303">
            <w:pPr>
              <w:spacing w:after="0" w:line="240" w:lineRule="auto"/>
              <w:rPr>
                <w:rFonts w:eastAsia="Times New Roman"/>
                <w:w w:val="100"/>
                <w:kern w:val="0"/>
                <w:sz w:val="19"/>
                <w:szCs w:val="19"/>
              </w:rPr>
            </w:pPr>
          </w:p>
          <w:p w14:paraId="0112AAED" w14:textId="77777777" w:rsidR="00030303" w:rsidRPr="00DB2B77" w:rsidRDefault="00030303" w:rsidP="00030303">
            <w:pPr>
              <w:spacing w:after="0" w:line="240" w:lineRule="auto"/>
              <w:rPr>
                <w:rFonts w:eastAsia="Times New Roman"/>
                <w:w w:val="100"/>
                <w:kern w:val="0"/>
                <w:sz w:val="19"/>
                <w:szCs w:val="19"/>
              </w:rPr>
            </w:pPr>
            <w:r w:rsidRPr="00DB2B77">
              <w:rPr>
                <w:rFonts w:eastAsia="Times New Roman"/>
                <w:w w:val="100"/>
                <w:kern w:val="0"/>
                <w:sz w:val="19"/>
                <w:szCs w:val="19"/>
              </w:rPr>
              <w:t>Civil penalty: 500 penalty units.</w:t>
            </w:r>
          </w:p>
          <w:p w14:paraId="4433FD52" w14:textId="77777777" w:rsidR="00030303" w:rsidRPr="00DB2B77" w:rsidRDefault="00030303" w:rsidP="00030303">
            <w:pPr>
              <w:spacing w:after="0" w:line="240" w:lineRule="auto"/>
              <w:rPr>
                <w:rFonts w:eastAsia="Times New Roman"/>
                <w:w w:val="100"/>
                <w:kern w:val="0"/>
                <w:sz w:val="19"/>
                <w:szCs w:val="19"/>
              </w:rPr>
            </w:pPr>
          </w:p>
          <w:p w14:paraId="198A079D" w14:textId="77777777" w:rsidR="00030303" w:rsidRPr="00DB2B77" w:rsidRDefault="00030303" w:rsidP="00030303">
            <w:pPr>
              <w:spacing w:after="0" w:line="240" w:lineRule="auto"/>
              <w:rPr>
                <w:rFonts w:eastAsia="Times New Roman"/>
                <w:i/>
                <w:w w:val="100"/>
                <w:kern w:val="0"/>
                <w:sz w:val="19"/>
                <w:szCs w:val="19"/>
              </w:rPr>
            </w:pPr>
            <w:r w:rsidRPr="00DB2B77">
              <w:rPr>
                <w:rFonts w:eastAsia="Times New Roman"/>
                <w:i/>
                <w:w w:val="100"/>
                <w:kern w:val="0"/>
                <w:sz w:val="19"/>
                <w:szCs w:val="19"/>
              </w:rPr>
              <w:t>Threatening to cause detriment to another person</w:t>
            </w:r>
          </w:p>
          <w:p w14:paraId="5F52C24A" w14:textId="77777777" w:rsidR="00030303" w:rsidRPr="00DB2B77" w:rsidRDefault="00030303" w:rsidP="00030303">
            <w:pPr>
              <w:spacing w:after="0" w:line="240" w:lineRule="auto"/>
              <w:rPr>
                <w:rFonts w:eastAsia="Times New Roman"/>
                <w:w w:val="100"/>
                <w:kern w:val="0"/>
                <w:sz w:val="19"/>
                <w:szCs w:val="19"/>
              </w:rPr>
            </w:pPr>
          </w:p>
          <w:p w14:paraId="04F469D4" w14:textId="77777777" w:rsidR="00030303" w:rsidRPr="00DB2B77" w:rsidRDefault="00030303" w:rsidP="00030303">
            <w:pPr>
              <w:spacing w:after="0" w:line="240" w:lineRule="auto"/>
              <w:rPr>
                <w:rFonts w:eastAsia="Times New Roman"/>
                <w:w w:val="100"/>
                <w:kern w:val="0"/>
                <w:sz w:val="19"/>
                <w:szCs w:val="19"/>
              </w:rPr>
            </w:pPr>
            <w:r w:rsidRPr="00DB2B77">
              <w:rPr>
                <w:rFonts w:eastAsia="Times New Roman"/>
                <w:w w:val="100"/>
                <w:kern w:val="0"/>
                <w:sz w:val="19"/>
                <w:szCs w:val="19"/>
              </w:rPr>
              <w:t>A person (the first person) contravenes this subsection if (s 73</w:t>
            </w:r>
            <w:proofErr w:type="gramStart"/>
            <w:r w:rsidRPr="00DB2B77">
              <w:rPr>
                <w:rFonts w:eastAsia="Times New Roman"/>
                <w:w w:val="100"/>
                <w:kern w:val="0"/>
                <w:sz w:val="19"/>
                <w:szCs w:val="19"/>
              </w:rPr>
              <w:t>ZC(</w:t>
            </w:r>
            <w:proofErr w:type="gramEnd"/>
            <w:r w:rsidRPr="00DB2B77">
              <w:rPr>
                <w:rFonts w:eastAsia="Times New Roman"/>
                <w:w w:val="100"/>
                <w:kern w:val="0"/>
                <w:sz w:val="19"/>
                <w:szCs w:val="19"/>
              </w:rPr>
              <w:t>2)):</w:t>
            </w:r>
          </w:p>
          <w:p w14:paraId="2F8C8E6F"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 xml:space="preserve">the first person makes to another person (the </w:t>
            </w:r>
            <w:r w:rsidRPr="00DB2B77">
              <w:rPr>
                <w:rFonts w:eastAsia="Times New Roman"/>
                <w:w w:val="100"/>
                <w:kern w:val="0"/>
                <w:sz w:val="19"/>
                <w:szCs w:val="19"/>
              </w:rPr>
              <w:lastRenderedPageBreak/>
              <w:t>second person) a threat to cause any detriment to the second person or to a third person; and</w:t>
            </w:r>
          </w:p>
          <w:p w14:paraId="3E40F671"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the first person:</w:t>
            </w:r>
          </w:p>
          <w:p w14:paraId="5D3B16C7" w14:textId="77777777" w:rsidR="00030303" w:rsidRPr="00DB2B77" w:rsidRDefault="00030303" w:rsidP="00030303">
            <w:pPr>
              <w:numPr>
                <w:ilvl w:val="1"/>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intends the second person to fear that the threat will be carried out; or</w:t>
            </w:r>
          </w:p>
          <w:p w14:paraId="3EE5C64E" w14:textId="77777777" w:rsidR="00030303" w:rsidRPr="00DB2B77" w:rsidRDefault="00030303" w:rsidP="00030303">
            <w:pPr>
              <w:numPr>
                <w:ilvl w:val="1"/>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is reckless as to causing the second person to fear that the threat will be carried out; and</w:t>
            </w:r>
          </w:p>
          <w:p w14:paraId="0FF57B66"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the first person makes the threat because a person:</w:t>
            </w:r>
          </w:p>
          <w:p w14:paraId="578BC275" w14:textId="77777777" w:rsidR="00030303" w:rsidRPr="00DB2B77" w:rsidRDefault="00030303" w:rsidP="00030303">
            <w:pPr>
              <w:numPr>
                <w:ilvl w:val="1"/>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makes a disclosure that qualifies for protection under this Part; or</w:t>
            </w:r>
          </w:p>
          <w:p w14:paraId="27AFEA82" w14:textId="77777777" w:rsidR="00030303" w:rsidRPr="00DB2B77" w:rsidRDefault="00030303" w:rsidP="00030303">
            <w:pPr>
              <w:numPr>
                <w:ilvl w:val="1"/>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 xml:space="preserve">may make a disclosure </w:t>
            </w:r>
            <w:r w:rsidRPr="00DB2B77">
              <w:rPr>
                <w:rFonts w:eastAsia="Times New Roman"/>
                <w:w w:val="100"/>
                <w:kern w:val="0"/>
                <w:sz w:val="19"/>
                <w:szCs w:val="19"/>
              </w:rPr>
              <w:lastRenderedPageBreak/>
              <w:t>that would qualify for protection under this Division.</w:t>
            </w:r>
          </w:p>
          <w:p w14:paraId="22C43533" w14:textId="77777777" w:rsidR="00030303" w:rsidRPr="00DB2B77" w:rsidRDefault="00030303" w:rsidP="00030303">
            <w:pPr>
              <w:spacing w:after="0" w:line="240" w:lineRule="auto"/>
              <w:rPr>
                <w:rFonts w:eastAsia="Times New Roman"/>
                <w:w w:val="100"/>
                <w:kern w:val="0"/>
                <w:sz w:val="19"/>
                <w:szCs w:val="19"/>
              </w:rPr>
            </w:pPr>
          </w:p>
          <w:p w14:paraId="5C39B34D" w14:textId="77777777" w:rsidR="00030303" w:rsidRPr="00DB2B77" w:rsidRDefault="00030303" w:rsidP="00030303">
            <w:pPr>
              <w:spacing w:after="0" w:line="240" w:lineRule="auto"/>
              <w:rPr>
                <w:rFonts w:eastAsia="Times New Roman"/>
                <w:w w:val="100"/>
                <w:kern w:val="0"/>
                <w:sz w:val="19"/>
                <w:szCs w:val="19"/>
              </w:rPr>
            </w:pPr>
            <w:r w:rsidRPr="00DB2B77">
              <w:rPr>
                <w:rFonts w:eastAsia="Times New Roman"/>
                <w:w w:val="100"/>
                <w:kern w:val="0"/>
                <w:sz w:val="19"/>
                <w:szCs w:val="19"/>
              </w:rPr>
              <w:t>Civil penalty: 500 penalty units.</w:t>
            </w:r>
          </w:p>
          <w:p w14:paraId="2CA07FA5" w14:textId="77777777" w:rsidR="00030303" w:rsidRPr="00DB2B77" w:rsidRDefault="00030303" w:rsidP="00030303">
            <w:pPr>
              <w:spacing w:after="0" w:line="240" w:lineRule="auto"/>
              <w:rPr>
                <w:rFonts w:eastAsia="Times New Roman"/>
                <w:w w:val="100"/>
                <w:kern w:val="0"/>
                <w:sz w:val="19"/>
                <w:szCs w:val="19"/>
              </w:rPr>
            </w:pPr>
          </w:p>
          <w:p w14:paraId="244D9B49" w14:textId="77777777" w:rsidR="00030303" w:rsidRPr="00DB2B77" w:rsidRDefault="00030303" w:rsidP="00030303">
            <w:pPr>
              <w:spacing w:after="0" w:line="240" w:lineRule="auto"/>
              <w:rPr>
                <w:rFonts w:eastAsia="Times New Roman"/>
                <w:w w:val="100"/>
                <w:kern w:val="0"/>
                <w:sz w:val="19"/>
                <w:szCs w:val="19"/>
              </w:rPr>
            </w:pPr>
            <w:r w:rsidRPr="00DB2B77">
              <w:rPr>
                <w:rFonts w:eastAsia="Times New Roman"/>
                <w:w w:val="100"/>
                <w:kern w:val="0"/>
                <w:sz w:val="19"/>
                <w:szCs w:val="19"/>
              </w:rPr>
              <w:t>Note: the threat may be express or implied, or conditional or unconditional: s 73</w:t>
            </w:r>
            <w:proofErr w:type="gramStart"/>
            <w:r w:rsidRPr="00DB2B77">
              <w:rPr>
                <w:rFonts w:eastAsia="Times New Roman"/>
                <w:w w:val="100"/>
                <w:kern w:val="0"/>
                <w:sz w:val="19"/>
                <w:szCs w:val="19"/>
              </w:rPr>
              <w:t>ZC(</w:t>
            </w:r>
            <w:proofErr w:type="gramEnd"/>
            <w:r w:rsidRPr="00DB2B77">
              <w:rPr>
                <w:rFonts w:eastAsia="Times New Roman"/>
                <w:w w:val="100"/>
                <w:kern w:val="0"/>
                <w:sz w:val="19"/>
                <w:szCs w:val="19"/>
              </w:rPr>
              <w:t>3).</w:t>
            </w:r>
          </w:p>
          <w:p w14:paraId="504AF7CA" w14:textId="77777777" w:rsidR="00030303" w:rsidRPr="00DB2B77" w:rsidRDefault="00030303" w:rsidP="00030303">
            <w:pPr>
              <w:spacing w:after="0" w:line="240" w:lineRule="auto"/>
              <w:rPr>
                <w:rFonts w:eastAsia="Times New Roman"/>
                <w:w w:val="100"/>
                <w:kern w:val="0"/>
                <w:sz w:val="19"/>
                <w:szCs w:val="19"/>
              </w:rPr>
            </w:pPr>
          </w:p>
          <w:p w14:paraId="6710EA08" w14:textId="77777777" w:rsidR="00030303" w:rsidRPr="00DB2B77" w:rsidRDefault="00030303" w:rsidP="00030303">
            <w:pPr>
              <w:spacing w:after="0" w:line="240" w:lineRule="auto"/>
              <w:rPr>
                <w:rFonts w:eastAsia="Times New Roman"/>
                <w:w w:val="100"/>
                <w:kern w:val="0"/>
                <w:sz w:val="19"/>
                <w:szCs w:val="19"/>
              </w:rPr>
            </w:pPr>
          </w:p>
        </w:tc>
        <w:tc>
          <w:tcPr>
            <w:tcW w:w="0" w:type="auto"/>
            <w:vAlign w:val="top"/>
          </w:tcPr>
          <w:p w14:paraId="0EEF1318" w14:textId="77777777" w:rsidR="00030303" w:rsidRPr="00DB2B77" w:rsidRDefault="00030303" w:rsidP="00030303">
            <w:pPr>
              <w:spacing w:after="0" w:line="240" w:lineRule="auto"/>
              <w:rPr>
                <w:rFonts w:eastAsia="Times New Roman"/>
                <w:i/>
                <w:iCs/>
                <w:w w:val="100"/>
                <w:kern w:val="0"/>
                <w:sz w:val="19"/>
                <w:szCs w:val="19"/>
              </w:rPr>
            </w:pPr>
            <w:proofErr w:type="gramStart"/>
            <w:r w:rsidRPr="00DB2B77">
              <w:rPr>
                <w:rFonts w:eastAsia="Times New Roman"/>
                <w:i/>
                <w:iCs/>
                <w:w w:val="100"/>
                <w:kern w:val="0"/>
                <w:sz w:val="19"/>
                <w:szCs w:val="19"/>
              </w:rPr>
              <w:lastRenderedPageBreak/>
              <w:t>Actually</w:t>
            </w:r>
            <w:proofErr w:type="gramEnd"/>
            <w:r w:rsidRPr="00DB2B77">
              <w:rPr>
                <w:rFonts w:eastAsia="Times New Roman"/>
                <w:i/>
                <w:iCs/>
                <w:w w:val="100"/>
                <w:kern w:val="0"/>
                <w:sz w:val="19"/>
                <w:szCs w:val="19"/>
              </w:rPr>
              <w:t xml:space="preserve"> causing detriment to another person</w:t>
            </w:r>
          </w:p>
          <w:p w14:paraId="04BC3F90" w14:textId="77777777" w:rsidR="00030303" w:rsidRPr="00DB2B77" w:rsidRDefault="00030303" w:rsidP="00030303">
            <w:pPr>
              <w:spacing w:after="0" w:line="240" w:lineRule="auto"/>
              <w:rPr>
                <w:rFonts w:eastAsia="Times New Roman"/>
                <w:w w:val="100"/>
                <w:kern w:val="0"/>
                <w:sz w:val="19"/>
                <w:szCs w:val="19"/>
              </w:rPr>
            </w:pPr>
          </w:p>
          <w:p w14:paraId="44DF217F" w14:textId="77777777" w:rsidR="00030303" w:rsidRPr="00DB2B77" w:rsidRDefault="00030303" w:rsidP="00030303">
            <w:pPr>
              <w:spacing w:after="0" w:line="240" w:lineRule="auto"/>
              <w:rPr>
                <w:rFonts w:eastAsia="Times New Roman"/>
                <w:b/>
                <w:w w:val="100"/>
                <w:kern w:val="0"/>
                <w:sz w:val="19"/>
                <w:szCs w:val="19"/>
              </w:rPr>
            </w:pPr>
            <w:r w:rsidRPr="00DB2B77">
              <w:rPr>
                <w:rFonts w:eastAsia="Times New Roman"/>
                <w:w w:val="100"/>
                <w:kern w:val="0"/>
                <w:sz w:val="19"/>
                <w:szCs w:val="19"/>
              </w:rPr>
              <w:t>A person (the first person) contravenes this subsection if (s 54-6(1)):</w:t>
            </w:r>
          </w:p>
          <w:p w14:paraId="3F14E917"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the first person engages in conduct; and</w:t>
            </w:r>
          </w:p>
          <w:p w14:paraId="203EFD09"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the first person’s conduct causes any detriment to another person (the second person); and</w:t>
            </w:r>
          </w:p>
          <w:p w14:paraId="2B7E0867"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lastRenderedPageBreak/>
              <w:t>the first person intends that the conduct cause detriment to the second person; and</w:t>
            </w:r>
          </w:p>
          <w:p w14:paraId="1D1531DC"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the first person engages in the conduct because the second person or a third person made a disclosure that qualifies for protection under section 54</w:t>
            </w:r>
            <w:r w:rsidRPr="00DB2B77">
              <w:rPr>
                <w:rFonts w:eastAsia="Times New Roman"/>
                <w:w w:val="100"/>
                <w:kern w:val="0"/>
                <w:sz w:val="19"/>
                <w:szCs w:val="19"/>
              </w:rPr>
              <w:noBreakHyphen/>
              <w:t>4.</w:t>
            </w:r>
          </w:p>
          <w:p w14:paraId="5126819D" w14:textId="77777777" w:rsidR="00030303" w:rsidRPr="00DB2B77" w:rsidRDefault="00030303" w:rsidP="00030303">
            <w:pPr>
              <w:spacing w:after="0" w:line="240" w:lineRule="auto"/>
              <w:rPr>
                <w:rFonts w:eastAsia="Times New Roman"/>
                <w:w w:val="100"/>
                <w:kern w:val="0"/>
                <w:sz w:val="19"/>
                <w:szCs w:val="19"/>
              </w:rPr>
            </w:pPr>
          </w:p>
          <w:p w14:paraId="4D4742D2" w14:textId="77777777" w:rsidR="00030303" w:rsidRPr="00DB2B77" w:rsidRDefault="00030303" w:rsidP="00030303">
            <w:pPr>
              <w:spacing w:after="0" w:line="240" w:lineRule="auto"/>
              <w:rPr>
                <w:rFonts w:eastAsia="Times New Roman"/>
                <w:w w:val="100"/>
                <w:kern w:val="0"/>
                <w:sz w:val="19"/>
                <w:szCs w:val="19"/>
              </w:rPr>
            </w:pPr>
            <w:r w:rsidRPr="00DB2B77">
              <w:rPr>
                <w:rFonts w:eastAsia="Times New Roman"/>
                <w:w w:val="100"/>
                <w:kern w:val="0"/>
                <w:sz w:val="19"/>
                <w:szCs w:val="19"/>
              </w:rPr>
              <w:t>Civil penalty: 500 penalty units.</w:t>
            </w:r>
          </w:p>
          <w:p w14:paraId="41DB4383" w14:textId="77777777" w:rsidR="00030303" w:rsidRPr="00DB2B77" w:rsidRDefault="00030303" w:rsidP="00030303">
            <w:pPr>
              <w:spacing w:after="0" w:line="240" w:lineRule="auto"/>
              <w:rPr>
                <w:rFonts w:eastAsia="Times New Roman"/>
                <w:w w:val="100"/>
                <w:kern w:val="0"/>
                <w:sz w:val="19"/>
                <w:szCs w:val="19"/>
              </w:rPr>
            </w:pPr>
          </w:p>
          <w:p w14:paraId="13B9CE89" w14:textId="77777777" w:rsidR="00030303" w:rsidRPr="00DB2B77" w:rsidRDefault="00030303" w:rsidP="00030303">
            <w:pPr>
              <w:spacing w:after="0" w:line="240" w:lineRule="auto"/>
              <w:rPr>
                <w:rFonts w:eastAsia="Times New Roman"/>
                <w:i/>
                <w:w w:val="100"/>
                <w:kern w:val="0"/>
                <w:sz w:val="19"/>
                <w:szCs w:val="19"/>
              </w:rPr>
            </w:pPr>
            <w:r w:rsidRPr="00DB2B77">
              <w:rPr>
                <w:rFonts w:eastAsia="Times New Roman"/>
                <w:i/>
                <w:w w:val="100"/>
                <w:kern w:val="0"/>
                <w:sz w:val="19"/>
                <w:szCs w:val="19"/>
              </w:rPr>
              <w:t>Threatening to cause detriment to another person</w:t>
            </w:r>
          </w:p>
          <w:p w14:paraId="5A351E5B" w14:textId="77777777" w:rsidR="00030303" w:rsidRPr="00DB2B77" w:rsidRDefault="00030303" w:rsidP="00030303">
            <w:pPr>
              <w:spacing w:after="0" w:line="240" w:lineRule="auto"/>
              <w:rPr>
                <w:rFonts w:eastAsia="Times New Roman"/>
                <w:w w:val="100"/>
                <w:kern w:val="0"/>
                <w:sz w:val="19"/>
                <w:szCs w:val="19"/>
              </w:rPr>
            </w:pPr>
          </w:p>
          <w:p w14:paraId="42DA78ED" w14:textId="77777777" w:rsidR="00030303" w:rsidRPr="00DB2B77" w:rsidRDefault="00030303" w:rsidP="00030303">
            <w:pPr>
              <w:spacing w:after="0" w:line="240" w:lineRule="auto"/>
              <w:rPr>
                <w:rFonts w:eastAsia="Times New Roman"/>
                <w:w w:val="100"/>
                <w:kern w:val="0"/>
                <w:sz w:val="19"/>
                <w:szCs w:val="19"/>
              </w:rPr>
            </w:pPr>
            <w:r w:rsidRPr="00DB2B77">
              <w:rPr>
                <w:rFonts w:eastAsia="Times New Roman"/>
                <w:w w:val="100"/>
                <w:kern w:val="0"/>
                <w:sz w:val="19"/>
                <w:szCs w:val="19"/>
              </w:rPr>
              <w:t>A person (the first person) contravenes this subsection if (s 54-6(2):</w:t>
            </w:r>
          </w:p>
          <w:p w14:paraId="525DFD34"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the first person makes to another person (the second person) a threat to cause any detriment to the second person or to a third person; and</w:t>
            </w:r>
          </w:p>
          <w:p w14:paraId="7AC79D50"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the first person:</w:t>
            </w:r>
          </w:p>
          <w:p w14:paraId="56EAF5B4" w14:textId="77777777" w:rsidR="00030303" w:rsidRPr="00DB2B77" w:rsidRDefault="00030303" w:rsidP="00030303">
            <w:pPr>
              <w:numPr>
                <w:ilvl w:val="1"/>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lastRenderedPageBreak/>
              <w:t>intends the second person to fear that the threat will be carried out; or</w:t>
            </w:r>
          </w:p>
          <w:p w14:paraId="0EE0ED1C" w14:textId="77777777" w:rsidR="00030303" w:rsidRPr="00DB2B77" w:rsidRDefault="00030303" w:rsidP="00030303">
            <w:pPr>
              <w:numPr>
                <w:ilvl w:val="1"/>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is reckless as to causing the second person to fear that the threat will be carried out; and</w:t>
            </w:r>
          </w:p>
          <w:p w14:paraId="65F5022B"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the first person makes the threat because a person:</w:t>
            </w:r>
          </w:p>
          <w:p w14:paraId="036111E7" w14:textId="77777777" w:rsidR="00030303" w:rsidRPr="00DB2B77" w:rsidRDefault="00030303" w:rsidP="00030303">
            <w:pPr>
              <w:numPr>
                <w:ilvl w:val="1"/>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makes a disclosure that qualifies for protection under section 54</w:t>
            </w:r>
            <w:r w:rsidRPr="00DB2B77">
              <w:rPr>
                <w:rFonts w:eastAsia="Times New Roman"/>
                <w:w w:val="100"/>
                <w:kern w:val="0"/>
                <w:sz w:val="19"/>
                <w:szCs w:val="19"/>
              </w:rPr>
              <w:noBreakHyphen/>
              <w:t>4; or</w:t>
            </w:r>
          </w:p>
          <w:p w14:paraId="3DF87C12" w14:textId="77777777" w:rsidR="00030303" w:rsidRPr="00DB2B77" w:rsidRDefault="00030303" w:rsidP="00030303">
            <w:pPr>
              <w:numPr>
                <w:ilvl w:val="1"/>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may make a disclosure that would qualify for protection under section 54</w:t>
            </w:r>
            <w:r w:rsidRPr="00DB2B77">
              <w:rPr>
                <w:rFonts w:eastAsia="Times New Roman"/>
                <w:w w:val="100"/>
                <w:kern w:val="0"/>
                <w:sz w:val="19"/>
                <w:szCs w:val="19"/>
              </w:rPr>
              <w:noBreakHyphen/>
              <w:t>4.</w:t>
            </w:r>
          </w:p>
          <w:p w14:paraId="00BC9E60" w14:textId="77777777" w:rsidR="00030303" w:rsidRPr="00DB2B77" w:rsidRDefault="00030303" w:rsidP="00030303">
            <w:pPr>
              <w:spacing w:after="0" w:line="240" w:lineRule="auto"/>
              <w:rPr>
                <w:rFonts w:eastAsia="Times New Roman"/>
                <w:w w:val="100"/>
                <w:kern w:val="0"/>
                <w:sz w:val="19"/>
                <w:szCs w:val="19"/>
              </w:rPr>
            </w:pPr>
          </w:p>
          <w:p w14:paraId="5F148890" w14:textId="77777777" w:rsidR="00030303" w:rsidRPr="00DB2B77" w:rsidRDefault="00030303" w:rsidP="00030303">
            <w:pPr>
              <w:spacing w:after="0" w:line="240" w:lineRule="auto"/>
              <w:rPr>
                <w:rFonts w:eastAsia="Times New Roman"/>
                <w:w w:val="100"/>
                <w:kern w:val="0"/>
                <w:sz w:val="19"/>
                <w:szCs w:val="19"/>
              </w:rPr>
            </w:pPr>
            <w:r w:rsidRPr="00DB2B77">
              <w:rPr>
                <w:rFonts w:eastAsia="Times New Roman"/>
                <w:w w:val="100"/>
                <w:kern w:val="0"/>
                <w:sz w:val="19"/>
                <w:szCs w:val="19"/>
              </w:rPr>
              <w:t>Civil penalty: 500 penalty units.</w:t>
            </w:r>
          </w:p>
          <w:p w14:paraId="31C7E54A" w14:textId="77777777" w:rsidR="00030303" w:rsidRPr="00DB2B77" w:rsidRDefault="00030303" w:rsidP="00030303">
            <w:pPr>
              <w:spacing w:after="0" w:line="240" w:lineRule="auto"/>
              <w:rPr>
                <w:rFonts w:eastAsia="Times New Roman"/>
                <w:w w:val="100"/>
                <w:kern w:val="0"/>
                <w:sz w:val="19"/>
                <w:szCs w:val="19"/>
              </w:rPr>
            </w:pPr>
          </w:p>
          <w:p w14:paraId="5CB4192E" w14:textId="77777777" w:rsidR="00030303" w:rsidRPr="00DB2B77" w:rsidRDefault="00030303" w:rsidP="00030303">
            <w:pPr>
              <w:spacing w:after="0" w:line="240" w:lineRule="auto"/>
              <w:rPr>
                <w:rFonts w:eastAsia="Times New Roman"/>
                <w:w w:val="100"/>
                <w:kern w:val="0"/>
                <w:sz w:val="19"/>
                <w:szCs w:val="19"/>
              </w:rPr>
            </w:pPr>
            <w:r w:rsidRPr="00DB2B77">
              <w:rPr>
                <w:rFonts w:eastAsia="Times New Roman"/>
                <w:w w:val="100"/>
                <w:kern w:val="0"/>
                <w:sz w:val="19"/>
                <w:szCs w:val="19"/>
              </w:rPr>
              <w:t xml:space="preserve">Note: the threat may be express or implied, </w:t>
            </w:r>
            <w:r w:rsidRPr="00DB2B77">
              <w:rPr>
                <w:rFonts w:eastAsia="Times New Roman"/>
                <w:w w:val="100"/>
                <w:kern w:val="0"/>
                <w:sz w:val="19"/>
                <w:szCs w:val="19"/>
              </w:rPr>
              <w:lastRenderedPageBreak/>
              <w:t>or conditional or unconditional: s 54-6(3).</w:t>
            </w:r>
          </w:p>
        </w:tc>
        <w:tc>
          <w:tcPr>
            <w:tcW w:w="0" w:type="auto"/>
            <w:vAlign w:val="top"/>
          </w:tcPr>
          <w:p w14:paraId="0436D6A0" w14:textId="77777777" w:rsidR="00030303" w:rsidRPr="00DB2B77" w:rsidRDefault="00030303" w:rsidP="00030303">
            <w:pPr>
              <w:keepNext/>
              <w:spacing w:after="0" w:line="240" w:lineRule="auto"/>
              <w:rPr>
                <w:rFonts w:eastAsia="Times New Roman"/>
                <w:i/>
                <w:w w:val="100"/>
                <w:kern w:val="0"/>
                <w:sz w:val="19"/>
                <w:szCs w:val="19"/>
              </w:rPr>
            </w:pPr>
            <w:proofErr w:type="gramStart"/>
            <w:r w:rsidRPr="00DB2B77">
              <w:rPr>
                <w:rFonts w:eastAsia="Times New Roman"/>
                <w:i/>
                <w:w w:val="100"/>
                <w:kern w:val="0"/>
                <w:sz w:val="19"/>
                <w:szCs w:val="19"/>
              </w:rPr>
              <w:lastRenderedPageBreak/>
              <w:t>Actually</w:t>
            </w:r>
            <w:proofErr w:type="gramEnd"/>
            <w:r w:rsidRPr="00DB2B77">
              <w:rPr>
                <w:rFonts w:eastAsia="Times New Roman"/>
                <w:i/>
                <w:w w:val="100"/>
                <w:kern w:val="0"/>
                <w:sz w:val="19"/>
                <w:szCs w:val="19"/>
              </w:rPr>
              <w:t xml:space="preserve"> causing detriment to another person</w:t>
            </w:r>
          </w:p>
          <w:p w14:paraId="46D47498" w14:textId="77777777" w:rsidR="00030303" w:rsidRPr="00DB2B77" w:rsidRDefault="00030303" w:rsidP="00030303">
            <w:pPr>
              <w:keepNext/>
              <w:spacing w:after="0" w:line="240" w:lineRule="auto"/>
              <w:rPr>
                <w:rFonts w:eastAsia="Times New Roman"/>
                <w:i/>
                <w:w w:val="100"/>
                <w:kern w:val="0"/>
                <w:sz w:val="19"/>
                <w:szCs w:val="19"/>
              </w:rPr>
            </w:pPr>
          </w:p>
          <w:p w14:paraId="5F89B519" w14:textId="77777777" w:rsidR="00030303" w:rsidRPr="00DB2B77" w:rsidRDefault="00030303" w:rsidP="00030303">
            <w:pPr>
              <w:keepNext/>
              <w:spacing w:after="0" w:line="240" w:lineRule="auto"/>
              <w:rPr>
                <w:rFonts w:eastAsia="Times New Roman"/>
                <w:b/>
                <w:w w:val="100"/>
                <w:kern w:val="0"/>
                <w:sz w:val="19"/>
                <w:szCs w:val="19"/>
              </w:rPr>
            </w:pPr>
            <w:r w:rsidRPr="00DB2B77">
              <w:rPr>
                <w:rFonts w:eastAsia="Times New Roman"/>
                <w:w w:val="100"/>
                <w:kern w:val="0"/>
                <w:sz w:val="19"/>
                <w:szCs w:val="19"/>
              </w:rPr>
              <w:t>A person (the first person) contravenes this subsection if</w:t>
            </w:r>
            <w:r w:rsidRPr="00DB2B77">
              <w:rPr>
                <w:rFonts w:eastAsia="Times New Roman"/>
                <w:b/>
                <w:w w:val="100"/>
                <w:kern w:val="0"/>
                <w:sz w:val="19"/>
                <w:szCs w:val="19"/>
              </w:rPr>
              <w:t xml:space="preserve"> </w:t>
            </w:r>
            <w:r w:rsidRPr="00DB2B77">
              <w:rPr>
                <w:rFonts w:eastAsia="Times New Roman"/>
                <w:w w:val="100"/>
                <w:kern w:val="0"/>
                <w:sz w:val="19"/>
                <w:szCs w:val="19"/>
              </w:rPr>
              <w:t>(s 1317</w:t>
            </w:r>
            <w:proofErr w:type="gramStart"/>
            <w:r w:rsidRPr="00DB2B77">
              <w:rPr>
                <w:rFonts w:eastAsia="Times New Roman"/>
                <w:w w:val="100"/>
                <w:kern w:val="0"/>
                <w:sz w:val="19"/>
                <w:szCs w:val="19"/>
              </w:rPr>
              <w:t>AC(</w:t>
            </w:r>
            <w:proofErr w:type="gramEnd"/>
            <w:r w:rsidRPr="00DB2B77">
              <w:rPr>
                <w:rFonts w:eastAsia="Times New Roman"/>
                <w:w w:val="100"/>
                <w:kern w:val="0"/>
                <w:sz w:val="19"/>
                <w:szCs w:val="19"/>
              </w:rPr>
              <w:t>1)):</w:t>
            </w:r>
          </w:p>
          <w:p w14:paraId="40F55DAB"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the first person engages in conduct; and</w:t>
            </w:r>
          </w:p>
          <w:p w14:paraId="20173DF1"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the first person’s conduct causes any detriment to another person (the second person); and</w:t>
            </w:r>
          </w:p>
          <w:p w14:paraId="36B011B4"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 xml:space="preserve">when the first person engages in the conduct, the first person believes or suspects that the second person or any </w:t>
            </w:r>
            <w:r w:rsidRPr="00DB2B77">
              <w:rPr>
                <w:rFonts w:eastAsia="Times New Roman"/>
                <w:w w:val="100"/>
                <w:kern w:val="0"/>
                <w:sz w:val="19"/>
                <w:szCs w:val="19"/>
              </w:rPr>
              <w:lastRenderedPageBreak/>
              <w:t>other person made, may have made, proposes to make or could make a disclosure that qualifies for protection under this Part; and</w:t>
            </w:r>
          </w:p>
          <w:p w14:paraId="1BA4075A"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the belief or suspicion referred to in paragraph (c) is the reason, or part of the reason, for the conduct.</w:t>
            </w:r>
          </w:p>
          <w:p w14:paraId="7EBABCD1" w14:textId="77777777" w:rsidR="00030303" w:rsidRPr="00DB2B77" w:rsidRDefault="00030303" w:rsidP="00030303">
            <w:pPr>
              <w:spacing w:after="0" w:line="240" w:lineRule="auto"/>
              <w:ind w:left="360"/>
              <w:contextualSpacing/>
              <w:rPr>
                <w:rFonts w:eastAsia="Times New Roman"/>
                <w:w w:val="100"/>
                <w:kern w:val="0"/>
                <w:sz w:val="19"/>
                <w:szCs w:val="19"/>
              </w:rPr>
            </w:pPr>
          </w:p>
          <w:p w14:paraId="5CEA95CF" w14:textId="77777777" w:rsidR="00030303" w:rsidRPr="00DB2B77" w:rsidRDefault="00030303" w:rsidP="00030303">
            <w:pPr>
              <w:spacing w:after="0" w:line="240" w:lineRule="auto"/>
              <w:contextualSpacing/>
              <w:rPr>
                <w:rFonts w:eastAsia="Times New Roman"/>
                <w:w w:val="100"/>
                <w:kern w:val="0"/>
                <w:sz w:val="19"/>
                <w:szCs w:val="19"/>
              </w:rPr>
            </w:pPr>
            <w:r w:rsidRPr="00DB2B77">
              <w:rPr>
                <w:rFonts w:eastAsia="Times New Roman"/>
                <w:w w:val="100"/>
                <w:kern w:val="0"/>
                <w:sz w:val="19"/>
                <w:szCs w:val="19"/>
              </w:rPr>
              <w:t>Maximum Civil Penalty: 5000 penalty units: s 1317</w:t>
            </w:r>
            <w:proofErr w:type="gramStart"/>
            <w:r w:rsidRPr="00DB2B77">
              <w:rPr>
                <w:rFonts w:eastAsia="Times New Roman"/>
                <w:w w:val="100"/>
                <w:kern w:val="0"/>
                <w:sz w:val="19"/>
                <w:szCs w:val="19"/>
              </w:rPr>
              <w:t>G(</w:t>
            </w:r>
            <w:proofErr w:type="gramEnd"/>
            <w:r w:rsidRPr="00DB2B77">
              <w:rPr>
                <w:rFonts w:eastAsia="Times New Roman"/>
                <w:w w:val="100"/>
                <w:kern w:val="0"/>
                <w:sz w:val="19"/>
                <w:szCs w:val="19"/>
              </w:rPr>
              <w:t>3).</w:t>
            </w:r>
          </w:p>
          <w:p w14:paraId="2E821804" w14:textId="77777777" w:rsidR="00030303" w:rsidRPr="00DB2B77" w:rsidRDefault="00030303" w:rsidP="00030303">
            <w:pPr>
              <w:spacing w:after="0" w:line="240" w:lineRule="auto"/>
              <w:rPr>
                <w:rFonts w:eastAsia="Times New Roman"/>
                <w:w w:val="100"/>
                <w:kern w:val="0"/>
                <w:sz w:val="19"/>
                <w:szCs w:val="19"/>
              </w:rPr>
            </w:pPr>
          </w:p>
          <w:p w14:paraId="4FE027EB" w14:textId="77777777" w:rsidR="00030303" w:rsidRPr="00DB2B77" w:rsidRDefault="00030303" w:rsidP="00030303">
            <w:pPr>
              <w:spacing w:after="0" w:line="240" w:lineRule="auto"/>
              <w:rPr>
                <w:rFonts w:eastAsia="Times New Roman"/>
                <w:i/>
                <w:w w:val="100"/>
                <w:kern w:val="0"/>
                <w:sz w:val="19"/>
                <w:szCs w:val="19"/>
              </w:rPr>
            </w:pPr>
            <w:r w:rsidRPr="00DB2B77">
              <w:rPr>
                <w:rFonts w:eastAsia="Times New Roman"/>
                <w:i/>
                <w:w w:val="100"/>
                <w:kern w:val="0"/>
                <w:sz w:val="19"/>
                <w:szCs w:val="19"/>
              </w:rPr>
              <w:t>Threatening to cause detriment to another person</w:t>
            </w:r>
          </w:p>
          <w:p w14:paraId="656853BC" w14:textId="77777777" w:rsidR="00030303" w:rsidRPr="00DB2B77" w:rsidRDefault="00030303" w:rsidP="00030303">
            <w:pPr>
              <w:spacing w:after="0" w:line="240" w:lineRule="auto"/>
              <w:rPr>
                <w:rFonts w:eastAsia="Times New Roman"/>
                <w:w w:val="100"/>
                <w:kern w:val="0"/>
                <w:sz w:val="19"/>
                <w:szCs w:val="19"/>
              </w:rPr>
            </w:pPr>
          </w:p>
          <w:p w14:paraId="6E614CAE" w14:textId="77777777" w:rsidR="00030303" w:rsidRPr="00DB2B77" w:rsidRDefault="00030303" w:rsidP="00030303">
            <w:pPr>
              <w:spacing w:after="0" w:line="240" w:lineRule="auto"/>
              <w:rPr>
                <w:rFonts w:eastAsia="Times New Roman"/>
                <w:w w:val="100"/>
                <w:kern w:val="0"/>
                <w:sz w:val="19"/>
                <w:szCs w:val="19"/>
              </w:rPr>
            </w:pPr>
            <w:r w:rsidRPr="00DB2B77">
              <w:rPr>
                <w:rFonts w:eastAsia="Times New Roman"/>
                <w:w w:val="100"/>
                <w:kern w:val="0"/>
                <w:sz w:val="19"/>
                <w:szCs w:val="19"/>
              </w:rPr>
              <w:t>A person (the first person) contravenes this subsection if (s 1317</w:t>
            </w:r>
            <w:proofErr w:type="gramStart"/>
            <w:r w:rsidRPr="00DB2B77">
              <w:rPr>
                <w:rFonts w:eastAsia="Times New Roman"/>
                <w:w w:val="100"/>
                <w:kern w:val="0"/>
                <w:sz w:val="19"/>
                <w:szCs w:val="19"/>
              </w:rPr>
              <w:t>AC(</w:t>
            </w:r>
            <w:proofErr w:type="gramEnd"/>
            <w:r w:rsidRPr="00DB2B77">
              <w:rPr>
                <w:rFonts w:eastAsia="Times New Roman"/>
                <w:w w:val="100"/>
                <w:kern w:val="0"/>
                <w:sz w:val="19"/>
                <w:szCs w:val="19"/>
              </w:rPr>
              <w:t>2)):</w:t>
            </w:r>
          </w:p>
          <w:p w14:paraId="25C792F1"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the first person makes to another person (the second person) a threat to cause any detriment to the second person or to a third person; and</w:t>
            </w:r>
          </w:p>
          <w:p w14:paraId="745CF865"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the first person:</w:t>
            </w:r>
          </w:p>
          <w:p w14:paraId="2DB23A85" w14:textId="77777777" w:rsidR="00030303" w:rsidRPr="00DB2B77" w:rsidRDefault="00030303" w:rsidP="00030303">
            <w:pPr>
              <w:numPr>
                <w:ilvl w:val="1"/>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intends the second person to fear that the threat will be carried out; or</w:t>
            </w:r>
          </w:p>
          <w:p w14:paraId="297BD5A9" w14:textId="77777777" w:rsidR="00030303" w:rsidRPr="00DB2B77" w:rsidRDefault="00030303" w:rsidP="00030303">
            <w:pPr>
              <w:numPr>
                <w:ilvl w:val="1"/>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lastRenderedPageBreak/>
              <w:t>is reckless as to causing the second person to fear that the threat will be carried out; and</w:t>
            </w:r>
          </w:p>
          <w:p w14:paraId="0EC089F7"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the first person makes the threat because a person:</w:t>
            </w:r>
          </w:p>
          <w:p w14:paraId="0B798CD8" w14:textId="77777777" w:rsidR="00030303" w:rsidRPr="00DB2B77" w:rsidRDefault="00030303" w:rsidP="00030303">
            <w:pPr>
              <w:numPr>
                <w:ilvl w:val="1"/>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makes a disclosure that qualifies for protection under this Part; or</w:t>
            </w:r>
          </w:p>
          <w:p w14:paraId="511CF237" w14:textId="77777777" w:rsidR="00030303" w:rsidRPr="00DB2B77" w:rsidRDefault="00030303" w:rsidP="00030303">
            <w:pPr>
              <w:numPr>
                <w:ilvl w:val="1"/>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may make a disclosure that would qualify for protection under this Part.</w:t>
            </w:r>
          </w:p>
          <w:p w14:paraId="5E850736" w14:textId="77777777" w:rsidR="00030303" w:rsidRPr="00DB2B77" w:rsidRDefault="00030303" w:rsidP="00030303">
            <w:pPr>
              <w:spacing w:after="0" w:line="240" w:lineRule="auto"/>
              <w:rPr>
                <w:rFonts w:eastAsia="Times New Roman"/>
                <w:w w:val="100"/>
                <w:kern w:val="0"/>
                <w:sz w:val="19"/>
                <w:szCs w:val="19"/>
              </w:rPr>
            </w:pPr>
          </w:p>
          <w:p w14:paraId="30729DA7" w14:textId="77777777" w:rsidR="00030303" w:rsidRPr="00DB2B77" w:rsidRDefault="00030303" w:rsidP="00030303">
            <w:pPr>
              <w:spacing w:after="0" w:line="240" w:lineRule="auto"/>
              <w:contextualSpacing/>
              <w:rPr>
                <w:rFonts w:eastAsia="Times New Roman"/>
                <w:w w:val="100"/>
                <w:kern w:val="0"/>
                <w:sz w:val="19"/>
                <w:szCs w:val="19"/>
              </w:rPr>
            </w:pPr>
            <w:r w:rsidRPr="00DB2B77">
              <w:rPr>
                <w:rFonts w:eastAsia="Times New Roman"/>
                <w:w w:val="100"/>
                <w:kern w:val="0"/>
                <w:sz w:val="19"/>
                <w:szCs w:val="19"/>
              </w:rPr>
              <w:t>Maximum Civil Penalty: 5000 penalty units: s 1317</w:t>
            </w:r>
            <w:proofErr w:type="gramStart"/>
            <w:r w:rsidRPr="00DB2B77">
              <w:rPr>
                <w:rFonts w:eastAsia="Times New Roman"/>
                <w:w w:val="100"/>
                <w:kern w:val="0"/>
                <w:sz w:val="19"/>
                <w:szCs w:val="19"/>
              </w:rPr>
              <w:t>G(</w:t>
            </w:r>
            <w:proofErr w:type="gramEnd"/>
            <w:r w:rsidRPr="00DB2B77">
              <w:rPr>
                <w:rFonts w:eastAsia="Times New Roman"/>
                <w:w w:val="100"/>
                <w:kern w:val="0"/>
                <w:sz w:val="19"/>
                <w:szCs w:val="19"/>
              </w:rPr>
              <w:t>3).</w:t>
            </w:r>
          </w:p>
          <w:p w14:paraId="3816CCE3" w14:textId="77777777" w:rsidR="00030303" w:rsidRPr="00DB2B77" w:rsidRDefault="00030303" w:rsidP="00030303">
            <w:pPr>
              <w:spacing w:after="0" w:line="240" w:lineRule="auto"/>
              <w:rPr>
                <w:rFonts w:eastAsia="Times New Roman"/>
                <w:w w:val="100"/>
                <w:kern w:val="0"/>
                <w:sz w:val="19"/>
                <w:szCs w:val="19"/>
              </w:rPr>
            </w:pPr>
          </w:p>
          <w:p w14:paraId="5DBEE34D" w14:textId="77777777" w:rsidR="00030303" w:rsidRPr="00DB2B77" w:rsidRDefault="00030303" w:rsidP="00030303">
            <w:pPr>
              <w:spacing w:after="0" w:line="240" w:lineRule="auto"/>
              <w:rPr>
                <w:rFonts w:eastAsia="Times New Roman"/>
                <w:w w:val="100"/>
                <w:kern w:val="0"/>
                <w:sz w:val="19"/>
                <w:szCs w:val="19"/>
              </w:rPr>
            </w:pPr>
            <w:r w:rsidRPr="00DB2B77">
              <w:rPr>
                <w:rFonts w:eastAsia="Times New Roman"/>
                <w:w w:val="100"/>
                <w:kern w:val="0"/>
                <w:sz w:val="19"/>
                <w:szCs w:val="19"/>
              </w:rPr>
              <w:t>Note: the maximum civil penalty for a body corporate is 50,000 penalty units: s 1317</w:t>
            </w:r>
            <w:proofErr w:type="gramStart"/>
            <w:r w:rsidRPr="00DB2B77">
              <w:rPr>
                <w:rFonts w:eastAsia="Times New Roman"/>
                <w:w w:val="100"/>
                <w:kern w:val="0"/>
                <w:sz w:val="19"/>
                <w:szCs w:val="19"/>
              </w:rPr>
              <w:t>G(</w:t>
            </w:r>
            <w:proofErr w:type="gramEnd"/>
            <w:r w:rsidRPr="00DB2B77">
              <w:rPr>
                <w:rFonts w:eastAsia="Times New Roman"/>
                <w:w w:val="100"/>
                <w:kern w:val="0"/>
                <w:sz w:val="19"/>
                <w:szCs w:val="19"/>
              </w:rPr>
              <w:t>4). There is also scope for higher penalties to be applied where the benefit derived by the second person is significant: s 1317</w:t>
            </w:r>
            <w:proofErr w:type="gramStart"/>
            <w:r w:rsidRPr="00DB2B77">
              <w:rPr>
                <w:rFonts w:eastAsia="Times New Roman"/>
                <w:w w:val="100"/>
                <w:kern w:val="0"/>
                <w:sz w:val="19"/>
                <w:szCs w:val="19"/>
              </w:rPr>
              <w:t>G(</w:t>
            </w:r>
            <w:proofErr w:type="gramEnd"/>
            <w:r w:rsidRPr="00DB2B77">
              <w:rPr>
                <w:rFonts w:eastAsia="Times New Roman"/>
                <w:w w:val="100"/>
                <w:kern w:val="0"/>
                <w:sz w:val="19"/>
                <w:szCs w:val="19"/>
              </w:rPr>
              <w:t>3)-(4).</w:t>
            </w:r>
          </w:p>
        </w:tc>
        <w:tc>
          <w:tcPr>
            <w:tcW w:w="0" w:type="auto"/>
            <w:vAlign w:val="top"/>
          </w:tcPr>
          <w:p w14:paraId="7F22DBB5" w14:textId="77777777" w:rsidR="00030303" w:rsidRPr="00DB2B77" w:rsidRDefault="00030303" w:rsidP="00030303">
            <w:pPr>
              <w:spacing w:after="0" w:line="240" w:lineRule="auto"/>
              <w:rPr>
                <w:rFonts w:eastAsia="Times New Roman"/>
                <w:i/>
                <w:w w:val="100"/>
                <w:kern w:val="0"/>
                <w:sz w:val="19"/>
                <w:szCs w:val="19"/>
              </w:rPr>
            </w:pPr>
            <w:r w:rsidRPr="00DB2B77">
              <w:rPr>
                <w:rFonts w:eastAsia="Times New Roman"/>
                <w:i/>
                <w:w w:val="100"/>
                <w:kern w:val="0"/>
                <w:sz w:val="19"/>
                <w:szCs w:val="19"/>
              </w:rPr>
              <w:lastRenderedPageBreak/>
              <w:t>Taking a reprisal</w:t>
            </w:r>
          </w:p>
          <w:p w14:paraId="7753ADAE" w14:textId="77777777" w:rsidR="00030303" w:rsidRPr="00DB2B77" w:rsidRDefault="00030303" w:rsidP="00030303">
            <w:pPr>
              <w:spacing w:after="0" w:line="240" w:lineRule="auto"/>
              <w:rPr>
                <w:rFonts w:eastAsia="Times New Roman"/>
                <w:w w:val="100"/>
                <w:kern w:val="0"/>
                <w:sz w:val="19"/>
                <w:szCs w:val="19"/>
              </w:rPr>
            </w:pPr>
          </w:p>
          <w:p w14:paraId="603AE106" w14:textId="77777777" w:rsidR="00030303" w:rsidRPr="00DB2B77" w:rsidRDefault="00030303" w:rsidP="00030303">
            <w:pPr>
              <w:spacing w:after="0" w:line="240" w:lineRule="auto"/>
              <w:rPr>
                <w:rFonts w:eastAsia="Times New Roman"/>
                <w:b/>
                <w:w w:val="100"/>
                <w:kern w:val="0"/>
                <w:sz w:val="19"/>
                <w:szCs w:val="19"/>
              </w:rPr>
            </w:pPr>
            <w:r w:rsidRPr="00DB2B77">
              <w:rPr>
                <w:rFonts w:eastAsia="Times New Roman"/>
                <w:w w:val="100"/>
                <w:kern w:val="0"/>
                <w:sz w:val="19"/>
                <w:szCs w:val="19"/>
              </w:rPr>
              <w:t xml:space="preserve">A person (the first person) must not take a reprisal against another person if the first person’s belief or suspicion that a person made, may have made, proposes to make or could make a disclosure that qualifies for protection under this Part is the reason, or part of the reason, for taking the reprisal: s 337BD (1). </w:t>
            </w:r>
          </w:p>
          <w:p w14:paraId="4DD783E9" w14:textId="77777777" w:rsidR="00030303" w:rsidRPr="00DB2B77" w:rsidRDefault="00030303" w:rsidP="00030303">
            <w:pPr>
              <w:spacing w:after="0" w:line="240" w:lineRule="auto"/>
              <w:rPr>
                <w:rFonts w:eastAsia="Times New Roman"/>
                <w:w w:val="100"/>
                <w:kern w:val="0"/>
                <w:sz w:val="19"/>
                <w:szCs w:val="19"/>
              </w:rPr>
            </w:pPr>
          </w:p>
          <w:p w14:paraId="5FEC6E97" w14:textId="77777777" w:rsidR="00030303" w:rsidRPr="00DB2B77" w:rsidRDefault="00030303" w:rsidP="00030303">
            <w:pPr>
              <w:spacing w:after="0" w:line="240" w:lineRule="auto"/>
              <w:rPr>
                <w:rFonts w:eastAsia="Times New Roman"/>
                <w:w w:val="100"/>
                <w:kern w:val="0"/>
                <w:sz w:val="19"/>
                <w:szCs w:val="19"/>
              </w:rPr>
            </w:pPr>
            <w:r w:rsidRPr="00DB2B77">
              <w:rPr>
                <w:rFonts w:eastAsia="Times New Roman"/>
                <w:w w:val="100"/>
                <w:kern w:val="0"/>
                <w:sz w:val="19"/>
                <w:szCs w:val="19"/>
              </w:rPr>
              <w:t>Civil penalty: 100 penalty units.</w:t>
            </w:r>
          </w:p>
          <w:p w14:paraId="0C5B74BE" w14:textId="77777777" w:rsidR="00030303" w:rsidRPr="00DB2B77" w:rsidRDefault="00030303" w:rsidP="00030303">
            <w:pPr>
              <w:spacing w:after="0" w:line="240" w:lineRule="auto"/>
              <w:rPr>
                <w:rFonts w:eastAsia="Times New Roman"/>
                <w:w w:val="100"/>
                <w:kern w:val="0"/>
                <w:sz w:val="19"/>
                <w:szCs w:val="19"/>
              </w:rPr>
            </w:pPr>
          </w:p>
          <w:p w14:paraId="2B9A675B" w14:textId="77777777" w:rsidR="00030303" w:rsidRPr="00DB2B77" w:rsidRDefault="00030303" w:rsidP="00030303">
            <w:pPr>
              <w:spacing w:after="0" w:line="240" w:lineRule="auto"/>
              <w:rPr>
                <w:rFonts w:eastAsia="Times New Roman"/>
                <w:i/>
                <w:w w:val="100"/>
                <w:kern w:val="0"/>
                <w:sz w:val="19"/>
                <w:szCs w:val="19"/>
              </w:rPr>
            </w:pPr>
            <w:r w:rsidRPr="00DB2B77">
              <w:rPr>
                <w:rFonts w:eastAsia="Times New Roman"/>
                <w:i/>
                <w:w w:val="100"/>
                <w:kern w:val="0"/>
                <w:sz w:val="19"/>
                <w:szCs w:val="19"/>
              </w:rPr>
              <w:t>Threatening to take a reprisal</w:t>
            </w:r>
          </w:p>
          <w:p w14:paraId="5D7BC8BA" w14:textId="77777777" w:rsidR="00030303" w:rsidRPr="00DB2B77" w:rsidRDefault="00030303" w:rsidP="00030303">
            <w:pPr>
              <w:spacing w:after="0" w:line="240" w:lineRule="auto"/>
              <w:rPr>
                <w:rFonts w:eastAsia="Times New Roman"/>
                <w:w w:val="100"/>
                <w:kern w:val="0"/>
                <w:sz w:val="19"/>
                <w:szCs w:val="19"/>
              </w:rPr>
            </w:pPr>
          </w:p>
          <w:p w14:paraId="70D06A06" w14:textId="77777777" w:rsidR="00030303" w:rsidRPr="00DB2B77" w:rsidRDefault="00030303" w:rsidP="00030303">
            <w:pPr>
              <w:spacing w:after="0" w:line="240" w:lineRule="auto"/>
              <w:rPr>
                <w:rFonts w:eastAsia="Times New Roman"/>
                <w:w w:val="100"/>
                <w:kern w:val="0"/>
                <w:sz w:val="19"/>
                <w:szCs w:val="19"/>
              </w:rPr>
            </w:pPr>
            <w:r w:rsidRPr="00DB2B77">
              <w:rPr>
                <w:rFonts w:eastAsia="Times New Roman"/>
                <w:w w:val="100"/>
                <w:kern w:val="0"/>
                <w:sz w:val="19"/>
                <w:szCs w:val="19"/>
              </w:rPr>
              <w:t>A person (the first person) must not make a threat to another person (the second person) to take a reprisal against the second person or a third person if (s 337</w:t>
            </w:r>
            <w:proofErr w:type="gramStart"/>
            <w:r w:rsidRPr="00DB2B77">
              <w:rPr>
                <w:rFonts w:eastAsia="Times New Roman"/>
                <w:w w:val="100"/>
                <w:kern w:val="0"/>
                <w:sz w:val="19"/>
                <w:szCs w:val="19"/>
              </w:rPr>
              <w:t>BD(</w:t>
            </w:r>
            <w:proofErr w:type="gramEnd"/>
            <w:r w:rsidRPr="00DB2B77">
              <w:rPr>
                <w:rFonts w:eastAsia="Times New Roman"/>
                <w:w w:val="100"/>
                <w:kern w:val="0"/>
                <w:sz w:val="19"/>
                <w:szCs w:val="19"/>
              </w:rPr>
              <w:t>3)):</w:t>
            </w:r>
          </w:p>
          <w:p w14:paraId="06805BF3"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the first person:</w:t>
            </w:r>
          </w:p>
          <w:p w14:paraId="05541ED2" w14:textId="77777777" w:rsidR="00030303" w:rsidRPr="00DB2B77" w:rsidRDefault="00030303" w:rsidP="00030303">
            <w:pPr>
              <w:numPr>
                <w:ilvl w:val="1"/>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intends the second person to fear that the threat will be carried out; or</w:t>
            </w:r>
          </w:p>
          <w:p w14:paraId="072F11D8" w14:textId="77777777" w:rsidR="00030303" w:rsidRPr="00DB2B77" w:rsidRDefault="00030303" w:rsidP="00030303">
            <w:pPr>
              <w:numPr>
                <w:ilvl w:val="1"/>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is reckless as to the second person fearing that the threat will be carried out; and</w:t>
            </w:r>
          </w:p>
          <w:p w14:paraId="33CC3DBF"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 xml:space="preserve">the first person’s belief or suspicion that a person made, may have made, proposes to make or could make a disclosure that </w:t>
            </w:r>
            <w:r w:rsidRPr="00DB2B77">
              <w:rPr>
                <w:rFonts w:eastAsia="Times New Roman"/>
                <w:w w:val="100"/>
                <w:kern w:val="0"/>
                <w:sz w:val="19"/>
                <w:szCs w:val="19"/>
              </w:rPr>
              <w:lastRenderedPageBreak/>
              <w:t>qualifies for protection under this Part is the reason, or part of the reason, for making the threat.</w:t>
            </w:r>
          </w:p>
          <w:p w14:paraId="3D699DA8" w14:textId="77777777" w:rsidR="00030303" w:rsidRPr="00DB2B77" w:rsidRDefault="00030303" w:rsidP="00030303">
            <w:pPr>
              <w:spacing w:after="0" w:line="240" w:lineRule="auto"/>
              <w:rPr>
                <w:rFonts w:eastAsia="Times New Roman"/>
                <w:w w:val="100"/>
                <w:kern w:val="0"/>
                <w:sz w:val="19"/>
                <w:szCs w:val="19"/>
              </w:rPr>
            </w:pPr>
          </w:p>
          <w:p w14:paraId="17D204A2" w14:textId="77777777" w:rsidR="00030303" w:rsidRPr="00DB2B77" w:rsidRDefault="00030303" w:rsidP="00030303">
            <w:pPr>
              <w:spacing w:after="0" w:line="240" w:lineRule="auto"/>
              <w:rPr>
                <w:rFonts w:eastAsia="Times New Roman"/>
                <w:w w:val="100"/>
                <w:kern w:val="0"/>
                <w:sz w:val="19"/>
                <w:szCs w:val="19"/>
              </w:rPr>
            </w:pPr>
            <w:r w:rsidRPr="00DB2B77">
              <w:rPr>
                <w:rFonts w:eastAsia="Times New Roman"/>
                <w:w w:val="100"/>
                <w:kern w:val="0"/>
                <w:sz w:val="19"/>
                <w:szCs w:val="19"/>
              </w:rPr>
              <w:t>Civil penalty: 100 penalty units.</w:t>
            </w:r>
          </w:p>
          <w:p w14:paraId="6F088314" w14:textId="77777777" w:rsidR="00030303" w:rsidRPr="00DB2B77" w:rsidRDefault="00030303" w:rsidP="00030303">
            <w:pPr>
              <w:spacing w:after="0" w:line="240" w:lineRule="auto"/>
              <w:rPr>
                <w:rFonts w:eastAsia="Times New Roman"/>
                <w:w w:val="100"/>
                <w:kern w:val="0"/>
                <w:sz w:val="19"/>
                <w:szCs w:val="19"/>
              </w:rPr>
            </w:pPr>
          </w:p>
          <w:p w14:paraId="34999A5D" w14:textId="77777777" w:rsidR="00030303" w:rsidRPr="00DB2B77" w:rsidRDefault="00030303" w:rsidP="00030303">
            <w:pPr>
              <w:spacing w:after="0" w:line="240" w:lineRule="auto"/>
              <w:rPr>
                <w:rFonts w:eastAsia="Times New Roman"/>
                <w:w w:val="100"/>
                <w:kern w:val="0"/>
                <w:sz w:val="19"/>
                <w:szCs w:val="19"/>
              </w:rPr>
            </w:pPr>
            <w:r w:rsidRPr="00DB2B77">
              <w:rPr>
                <w:rFonts w:eastAsia="Times New Roman"/>
                <w:w w:val="100"/>
                <w:kern w:val="0"/>
                <w:sz w:val="19"/>
                <w:szCs w:val="19"/>
              </w:rPr>
              <w:t>Note: the threat may be express or implied, or conditional or unconditional.</w:t>
            </w:r>
          </w:p>
        </w:tc>
        <w:tc>
          <w:tcPr>
            <w:tcW w:w="0" w:type="auto"/>
            <w:vAlign w:val="top"/>
          </w:tcPr>
          <w:p w14:paraId="03C3C49F" w14:textId="77777777" w:rsidR="00030303" w:rsidRPr="00DB2B77" w:rsidRDefault="00030303" w:rsidP="00030303">
            <w:pPr>
              <w:spacing w:after="0" w:line="240" w:lineRule="auto"/>
              <w:rPr>
                <w:rFonts w:eastAsia="Times New Roman"/>
                <w:w w:val="100"/>
                <w:kern w:val="0"/>
                <w:sz w:val="19"/>
                <w:szCs w:val="19"/>
              </w:rPr>
            </w:pPr>
          </w:p>
        </w:tc>
      </w:tr>
      <w:tr w:rsidR="00030303" w:rsidRPr="00DB2B77" w14:paraId="479E6646" w14:textId="77777777" w:rsidTr="00030303">
        <w:tc>
          <w:tcPr>
            <w:tcW w:w="0" w:type="auto"/>
            <w:vAlign w:val="top"/>
            <w:hideMark/>
          </w:tcPr>
          <w:p w14:paraId="1969A062" w14:textId="77777777" w:rsidR="00030303" w:rsidRPr="00DB2B77" w:rsidRDefault="00030303" w:rsidP="00030303">
            <w:pPr>
              <w:spacing w:after="0" w:line="240" w:lineRule="auto"/>
              <w:rPr>
                <w:rFonts w:eastAsia="Times New Roman"/>
                <w:b/>
                <w:w w:val="100"/>
                <w:kern w:val="0"/>
                <w:sz w:val="19"/>
                <w:szCs w:val="19"/>
              </w:rPr>
            </w:pPr>
            <w:r w:rsidRPr="00DB2B77">
              <w:rPr>
                <w:rFonts w:eastAsia="Times New Roman"/>
                <w:b/>
                <w:w w:val="100"/>
                <w:kern w:val="0"/>
                <w:sz w:val="19"/>
                <w:szCs w:val="19"/>
              </w:rPr>
              <w:lastRenderedPageBreak/>
              <w:t>Criminal offences</w:t>
            </w:r>
          </w:p>
        </w:tc>
        <w:tc>
          <w:tcPr>
            <w:tcW w:w="0" w:type="auto"/>
            <w:vAlign w:val="top"/>
          </w:tcPr>
          <w:p w14:paraId="043A7E10" w14:textId="77777777" w:rsidR="00030303" w:rsidRPr="00DB2B77" w:rsidRDefault="00030303" w:rsidP="00030303">
            <w:pPr>
              <w:spacing w:after="0" w:line="240" w:lineRule="auto"/>
              <w:rPr>
                <w:rFonts w:eastAsia="Times New Roman"/>
                <w:i/>
                <w:w w:val="100"/>
                <w:kern w:val="0"/>
                <w:sz w:val="19"/>
                <w:szCs w:val="19"/>
              </w:rPr>
            </w:pPr>
            <w:r w:rsidRPr="00DB2B77">
              <w:rPr>
                <w:rFonts w:eastAsia="Times New Roman"/>
                <w:i/>
                <w:w w:val="100"/>
                <w:kern w:val="0"/>
                <w:sz w:val="19"/>
                <w:szCs w:val="19"/>
              </w:rPr>
              <w:t>Taking a reprisal</w:t>
            </w:r>
          </w:p>
          <w:p w14:paraId="5302D09A" w14:textId="77777777" w:rsidR="00030303" w:rsidRPr="00DB2B77" w:rsidRDefault="00030303" w:rsidP="00030303">
            <w:pPr>
              <w:spacing w:after="0" w:line="240" w:lineRule="auto"/>
              <w:rPr>
                <w:rFonts w:eastAsia="Times New Roman"/>
                <w:i/>
                <w:w w:val="100"/>
                <w:kern w:val="0"/>
                <w:sz w:val="19"/>
                <w:szCs w:val="19"/>
              </w:rPr>
            </w:pPr>
          </w:p>
          <w:p w14:paraId="2E0984E7" w14:textId="77777777" w:rsidR="00030303" w:rsidRPr="00DB2B77" w:rsidRDefault="00030303" w:rsidP="00030303">
            <w:pPr>
              <w:spacing w:after="0" w:line="240" w:lineRule="auto"/>
              <w:rPr>
                <w:rFonts w:eastAsia="Times New Roman"/>
                <w:b/>
                <w:w w:val="100"/>
                <w:kern w:val="0"/>
                <w:sz w:val="19"/>
                <w:szCs w:val="19"/>
              </w:rPr>
            </w:pPr>
            <w:r w:rsidRPr="00DB2B77">
              <w:rPr>
                <w:rFonts w:eastAsia="Times New Roman"/>
                <w:w w:val="100"/>
                <w:kern w:val="0"/>
                <w:sz w:val="19"/>
                <w:szCs w:val="19"/>
              </w:rPr>
              <w:t>A person commits an offence if the person takes a reprisal against another person: s 19(1).</w:t>
            </w:r>
          </w:p>
          <w:p w14:paraId="3E3C6D68" w14:textId="77777777" w:rsidR="00030303" w:rsidRPr="00DB2B77" w:rsidRDefault="00030303" w:rsidP="00030303">
            <w:pPr>
              <w:spacing w:after="0" w:line="240" w:lineRule="auto"/>
              <w:rPr>
                <w:rFonts w:eastAsia="Times New Roman"/>
                <w:b/>
                <w:w w:val="100"/>
                <w:kern w:val="0"/>
                <w:sz w:val="19"/>
                <w:szCs w:val="19"/>
              </w:rPr>
            </w:pPr>
          </w:p>
          <w:p w14:paraId="2F3E004E" w14:textId="77777777" w:rsidR="00030303" w:rsidRPr="00DB2B77" w:rsidRDefault="00030303" w:rsidP="00030303">
            <w:pPr>
              <w:spacing w:after="0" w:line="240" w:lineRule="auto"/>
              <w:rPr>
                <w:rFonts w:eastAsia="Times New Roman"/>
                <w:w w:val="100"/>
                <w:kern w:val="0"/>
                <w:sz w:val="19"/>
                <w:szCs w:val="19"/>
              </w:rPr>
            </w:pPr>
            <w:r w:rsidRPr="00DB2B77">
              <w:rPr>
                <w:rFonts w:eastAsia="Times New Roman"/>
                <w:w w:val="100"/>
                <w:kern w:val="0"/>
                <w:sz w:val="19"/>
                <w:szCs w:val="19"/>
              </w:rPr>
              <w:t>Penalty:  Imprisonment for 2 years or 120 penalty units, or both.</w:t>
            </w:r>
          </w:p>
          <w:p w14:paraId="789E7BC9" w14:textId="77777777" w:rsidR="00030303" w:rsidRPr="00DB2B77" w:rsidRDefault="00030303" w:rsidP="00030303">
            <w:pPr>
              <w:spacing w:after="0" w:line="240" w:lineRule="auto"/>
              <w:rPr>
                <w:rFonts w:eastAsia="Times New Roman"/>
                <w:b/>
                <w:w w:val="100"/>
                <w:kern w:val="0"/>
                <w:sz w:val="19"/>
                <w:szCs w:val="19"/>
              </w:rPr>
            </w:pPr>
          </w:p>
          <w:p w14:paraId="72FFCAD9" w14:textId="77777777" w:rsidR="00030303" w:rsidRPr="00DB2B77" w:rsidRDefault="00030303" w:rsidP="00030303">
            <w:pPr>
              <w:spacing w:after="0" w:line="240" w:lineRule="auto"/>
              <w:rPr>
                <w:rFonts w:eastAsia="Times New Roman"/>
                <w:i/>
                <w:w w:val="100"/>
                <w:kern w:val="0"/>
                <w:sz w:val="19"/>
                <w:szCs w:val="19"/>
              </w:rPr>
            </w:pPr>
            <w:r w:rsidRPr="00DB2B77">
              <w:rPr>
                <w:rFonts w:eastAsia="Times New Roman"/>
                <w:i/>
                <w:w w:val="100"/>
                <w:kern w:val="0"/>
                <w:sz w:val="19"/>
                <w:szCs w:val="19"/>
              </w:rPr>
              <w:t>Threatening to take a reprisal</w:t>
            </w:r>
          </w:p>
          <w:p w14:paraId="5A15D859" w14:textId="77777777" w:rsidR="00030303" w:rsidRPr="00DB2B77" w:rsidRDefault="00030303" w:rsidP="00030303">
            <w:pPr>
              <w:spacing w:after="0" w:line="240" w:lineRule="auto"/>
              <w:rPr>
                <w:rFonts w:eastAsia="Times New Roman"/>
                <w:i/>
                <w:w w:val="100"/>
                <w:kern w:val="0"/>
                <w:sz w:val="19"/>
                <w:szCs w:val="19"/>
              </w:rPr>
            </w:pPr>
          </w:p>
          <w:p w14:paraId="1319AF5E" w14:textId="77777777" w:rsidR="00030303" w:rsidRPr="00DB2B77" w:rsidRDefault="00030303" w:rsidP="00030303">
            <w:pPr>
              <w:spacing w:after="0" w:line="240" w:lineRule="auto"/>
              <w:rPr>
                <w:rFonts w:eastAsia="Times New Roman"/>
                <w:w w:val="100"/>
                <w:kern w:val="0"/>
                <w:sz w:val="19"/>
                <w:szCs w:val="19"/>
              </w:rPr>
            </w:pPr>
            <w:r w:rsidRPr="00DB2B77">
              <w:rPr>
                <w:rFonts w:eastAsia="Times New Roman"/>
                <w:w w:val="100"/>
                <w:kern w:val="0"/>
                <w:sz w:val="19"/>
                <w:szCs w:val="19"/>
              </w:rPr>
              <w:t>A person (the first person) commits an offence if (s 19(3):</w:t>
            </w:r>
          </w:p>
          <w:p w14:paraId="5B69653D"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lastRenderedPageBreak/>
              <w:t>the first person makes a threat to another person (the second person) to take a reprisal against the second person or a third person; and</w:t>
            </w:r>
          </w:p>
          <w:p w14:paraId="755DC8EC"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the first person:</w:t>
            </w:r>
          </w:p>
          <w:p w14:paraId="29F1F7ED" w14:textId="77777777" w:rsidR="00030303" w:rsidRPr="00DB2B77" w:rsidRDefault="00030303" w:rsidP="00030303">
            <w:pPr>
              <w:numPr>
                <w:ilvl w:val="1"/>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intends the second person to fear that the threat will be carried out; or</w:t>
            </w:r>
          </w:p>
          <w:p w14:paraId="42C1120B" w14:textId="77777777" w:rsidR="00030303" w:rsidRPr="00DB2B77" w:rsidRDefault="00030303" w:rsidP="00030303">
            <w:pPr>
              <w:numPr>
                <w:ilvl w:val="1"/>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is reckless as to the second person fearing that the threat will be carried out.</w:t>
            </w:r>
          </w:p>
          <w:p w14:paraId="03DE0CC3" w14:textId="77777777" w:rsidR="00030303" w:rsidRPr="00DB2B77" w:rsidRDefault="00030303" w:rsidP="00030303">
            <w:pPr>
              <w:shd w:val="clear" w:color="auto" w:fill="FFFFFF"/>
              <w:spacing w:before="180" w:after="0" w:line="240" w:lineRule="auto"/>
              <w:ind w:left="48"/>
              <w:rPr>
                <w:rFonts w:eastAsia="Times New Roman"/>
                <w:color w:val="000000"/>
                <w:w w:val="100"/>
                <w:kern w:val="0"/>
                <w:sz w:val="19"/>
                <w:szCs w:val="19"/>
              </w:rPr>
            </w:pPr>
            <w:r w:rsidRPr="00DB2B77">
              <w:rPr>
                <w:rFonts w:eastAsia="Times New Roman"/>
                <w:w w:val="100"/>
                <w:kern w:val="0"/>
                <w:sz w:val="19"/>
                <w:szCs w:val="19"/>
              </w:rPr>
              <w:t>Penalty:  Imprisonment for 2 years or 120 penalty</w:t>
            </w:r>
            <w:r w:rsidRPr="00DB2B77">
              <w:rPr>
                <w:rFonts w:eastAsia="Times New Roman"/>
                <w:color w:val="000000"/>
                <w:w w:val="100"/>
                <w:kern w:val="0"/>
                <w:sz w:val="19"/>
                <w:szCs w:val="19"/>
              </w:rPr>
              <w:t xml:space="preserve"> units, or both.</w:t>
            </w:r>
          </w:p>
          <w:p w14:paraId="789C435E" w14:textId="77777777" w:rsidR="00030303" w:rsidRPr="00DB2B77" w:rsidRDefault="00030303" w:rsidP="00030303">
            <w:pPr>
              <w:spacing w:after="0" w:line="240" w:lineRule="auto"/>
              <w:rPr>
                <w:rFonts w:eastAsia="Times New Roman"/>
                <w:w w:val="100"/>
                <w:kern w:val="0"/>
                <w:sz w:val="19"/>
                <w:szCs w:val="19"/>
              </w:rPr>
            </w:pPr>
          </w:p>
          <w:p w14:paraId="1DD165A3" w14:textId="77777777" w:rsidR="00030303" w:rsidRPr="00DB2B77" w:rsidRDefault="00030303" w:rsidP="00030303">
            <w:pPr>
              <w:spacing w:after="0" w:line="240" w:lineRule="auto"/>
              <w:rPr>
                <w:rFonts w:eastAsia="Times New Roman"/>
                <w:w w:val="100"/>
                <w:kern w:val="0"/>
                <w:sz w:val="19"/>
                <w:szCs w:val="19"/>
              </w:rPr>
            </w:pPr>
            <w:r w:rsidRPr="00DB2B77">
              <w:rPr>
                <w:rFonts w:eastAsia="Times New Roman"/>
                <w:w w:val="100"/>
                <w:kern w:val="0"/>
                <w:sz w:val="19"/>
                <w:szCs w:val="19"/>
              </w:rPr>
              <w:t>Note: the threat may be express or implied, or conditional or unconditional.</w:t>
            </w:r>
          </w:p>
        </w:tc>
        <w:tc>
          <w:tcPr>
            <w:tcW w:w="0" w:type="auto"/>
            <w:vAlign w:val="top"/>
          </w:tcPr>
          <w:p w14:paraId="0534D4B1" w14:textId="77777777" w:rsidR="00030303" w:rsidRPr="00DB2B77" w:rsidRDefault="00030303" w:rsidP="00030303">
            <w:pPr>
              <w:spacing w:after="0" w:line="240" w:lineRule="auto"/>
              <w:rPr>
                <w:rFonts w:eastAsia="Times New Roman"/>
                <w:w w:val="100"/>
                <w:kern w:val="0"/>
                <w:sz w:val="19"/>
                <w:szCs w:val="19"/>
              </w:rPr>
            </w:pPr>
          </w:p>
        </w:tc>
        <w:tc>
          <w:tcPr>
            <w:tcW w:w="0" w:type="auto"/>
            <w:vAlign w:val="top"/>
          </w:tcPr>
          <w:p w14:paraId="56D03FCC" w14:textId="77777777" w:rsidR="00030303" w:rsidRPr="00DB2B77" w:rsidRDefault="00030303" w:rsidP="00030303">
            <w:pPr>
              <w:spacing w:after="0" w:line="240" w:lineRule="auto"/>
              <w:rPr>
                <w:rFonts w:eastAsia="Times New Roman"/>
                <w:w w:val="100"/>
                <w:kern w:val="0"/>
                <w:sz w:val="19"/>
                <w:szCs w:val="19"/>
              </w:rPr>
            </w:pPr>
          </w:p>
        </w:tc>
        <w:tc>
          <w:tcPr>
            <w:tcW w:w="0" w:type="auto"/>
            <w:vAlign w:val="top"/>
          </w:tcPr>
          <w:p w14:paraId="0E2C697A" w14:textId="77777777" w:rsidR="00030303" w:rsidRPr="00DB2B77" w:rsidRDefault="00030303" w:rsidP="00030303">
            <w:pPr>
              <w:spacing w:after="0" w:line="240" w:lineRule="auto"/>
              <w:rPr>
                <w:rFonts w:eastAsia="Times New Roman"/>
                <w:i/>
                <w:w w:val="100"/>
                <w:kern w:val="0"/>
                <w:sz w:val="19"/>
                <w:szCs w:val="19"/>
              </w:rPr>
            </w:pPr>
            <w:proofErr w:type="gramStart"/>
            <w:r w:rsidRPr="00DB2B77">
              <w:rPr>
                <w:rFonts w:eastAsia="Times New Roman"/>
                <w:i/>
                <w:w w:val="100"/>
                <w:kern w:val="0"/>
                <w:sz w:val="19"/>
                <w:szCs w:val="19"/>
              </w:rPr>
              <w:t>Actually</w:t>
            </w:r>
            <w:proofErr w:type="gramEnd"/>
            <w:r w:rsidRPr="00DB2B77">
              <w:rPr>
                <w:rFonts w:eastAsia="Times New Roman"/>
                <w:i/>
                <w:w w:val="100"/>
                <w:kern w:val="0"/>
                <w:sz w:val="19"/>
                <w:szCs w:val="19"/>
              </w:rPr>
              <w:t xml:space="preserve"> causing detriment to another person</w:t>
            </w:r>
          </w:p>
          <w:p w14:paraId="58D7242B" w14:textId="77777777" w:rsidR="00030303" w:rsidRPr="00DB2B77" w:rsidRDefault="00030303" w:rsidP="00030303">
            <w:pPr>
              <w:spacing w:after="0" w:line="240" w:lineRule="auto"/>
              <w:rPr>
                <w:rFonts w:eastAsia="Times New Roman"/>
                <w:i/>
                <w:w w:val="100"/>
                <w:kern w:val="0"/>
                <w:sz w:val="19"/>
                <w:szCs w:val="19"/>
              </w:rPr>
            </w:pPr>
          </w:p>
          <w:p w14:paraId="50935DF6" w14:textId="77777777" w:rsidR="00030303" w:rsidRPr="00DB2B77" w:rsidRDefault="00030303" w:rsidP="00030303">
            <w:pPr>
              <w:spacing w:after="0" w:line="240" w:lineRule="auto"/>
              <w:rPr>
                <w:rFonts w:eastAsia="Times New Roman"/>
                <w:b/>
                <w:w w:val="100"/>
                <w:kern w:val="0"/>
                <w:sz w:val="19"/>
                <w:szCs w:val="19"/>
              </w:rPr>
            </w:pPr>
            <w:r w:rsidRPr="00DB2B77">
              <w:rPr>
                <w:rFonts w:eastAsia="Times New Roman"/>
                <w:w w:val="100"/>
                <w:kern w:val="0"/>
                <w:sz w:val="19"/>
                <w:szCs w:val="19"/>
              </w:rPr>
              <w:t>A person (the first person) commits an offence if</w:t>
            </w:r>
            <w:r w:rsidRPr="00DB2B77">
              <w:rPr>
                <w:rFonts w:eastAsia="Times New Roman"/>
                <w:b/>
                <w:w w:val="100"/>
                <w:kern w:val="0"/>
                <w:sz w:val="19"/>
                <w:szCs w:val="19"/>
              </w:rPr>
              <w:t xml:space="preserve"> </w:t>
            </w:r>
            <w:r w:rsidRPr="00DB2B77">
              <w:rPr>
                <w:rFonts w:eastAsia="Times New Roman"/>
                <w:w w:val="100"/>
                <w:kern w:val="0"/>
                <w:sz w:val="19"/>
                <w:szCs w:val="19"/>
              </w:rPr>
              <w:t>(s 1317</w:t>
            </w:r>
            <w:proofErr w:type="gramStart"/>
            <w:r w:rsidRPr="00DB2B77">
              <w:rPr>
                <w:rFonts w:eastAsia="Times New Roman"/>
                <w:w w:val="100"/>
                <w:kern w:val="0"/>
                <w:sz w:val="19"/>
                <w:szCs w:val="19"/>
              </w:rPr>
              <w:t>AC(</w:t>
            </w:r>
            <w:proofErr w:type="gramEnd"/>
            <w:r w:rsidRPr="00DB2B77">
              <w:rPr>
                <w:rFonts w:eastAsia="Times New Roman"/>
                <w:w w:val="100"/>
                <w:kern w:val="0"/>
                <w:sz w:val="19"/>
                <w:szCs w:val="19"/>
              </w:rPr>
              <w:t>1)):</w:t>
            </w:r>
          </w:p>
          <w:p w14:paraId="40888620"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the first person engages in conduct; and</w:t>
            </w:r>
          </w:p>
          <w:p w14:paraId="508E58B5"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the first person’s conduct causes any detriment to another person (the second person); and</w:t>
            </w:r>
          </w:p>
          <w:p w14:paraId="7FEE04D9"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 xml:space="preserve">when the first person engages in the conduct, the first person believes or suspects that the second person or any other person made, may </w:t>
            </w:r>
            <w:r w:rsidRPr="00DB2B77">
              <w:rPr>
                <w:rFonts w:eastAsia="Times New Roman"/>
                <w:w w:val="100"/>
                <w:kern w:val="0"/>
                <w:sz w:val="19"/>
                <w:szCs w:val="19"/>
              </w:rPr>
              <w:lastRenderedPageBreak/>
              <w:t>have made, proposes to make or could make a disclosure that qualifies for protection under this Part; and</w:t>
            </w:r>
          </w:p>
          <w:p w14:paraId="693CE4A7"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the belief or suspicion referred to in paragraph (c) is the reason, or part of the reason, for the conduct.</w:t>
            </w:r>
          </w:p>
          <w:p w14:paraId="601CC331" w14:textId="77777777" w:rsidR="00030303" w:rsidRPr="00DB2B77" w:rsidRDefault="00030303" w:rsidP="00030303">
            <w:pPr>
              <w:spacing w:after="0" w:line="240" w:lineRule="auto"/>
              <w:contextualSpacing/>
              <w:rPr>
                <w:rFonts w:eastAsia="Times New Roman"/>
                <w:w w:val="100"/>
                <w:kern w:val="0"/>
                <w:sz w:val="19"/>
                <w:szCs w:val="19"/>
              </w:rPr>
            </w:pPr>
          </w:p>
          <w:p w14:paraId="4A79178D" w14:textId="77777777" w:rsidR="00030303" w:rsidRPr="00DB2B77" w:rsidRDefault="00030303" w:rsidP="00030303">
            <w:pPr>
              <w:spacing w:after="0" w:line="240" w:lineRule="auto"/>
              <w:contextualSpacing/>
              <w:rPr>
                <w:rFonts w:eastAsia="Times New Roman"/>
                <w:w w:val="100"/>
                <w:kern w:val="0"/>
                <w:sz w:val="19"/>
                <w:szCs w:val="19"/>
              </w:rPr>
            </w:pPr>
            <w:r w:rsidRPr="00DB2B77">
              <w:rPr>
                <w:rFonts w:eastAsia="Times New Roman"/>
                <w:w w:val="100"/>
                <w:kern w:val="0"/>
                <w:sz w:val="19"/>
                <w:szCs w:val="19"/>
              </w:rPr>
              <w:t>Penalty: 5000 penalty units: s 1311</w:t>
            </w:r>
            <w:proofErr w:type="gramStart"/>
            <w:r w:rsidRPr="00DB2B77">
              <w:rPr>
                <w:rFonts w:eastAsia="Times New Roman"/>
                <w:w w:val="100"/>
                <w:kern w:val="0"/>
                <w:sz w:val="19"/>
                <w:szCs w:val="19"/>
              </w:rPr>
              <w:t>B(</w:t>
            </w:r>
            <w:proofErr w:type="gramEnd"/>
            <w:r w:rsidRPr="00DB2B77">
              <w:rPr>
                <w:rFonts w:eastAsia="Times New Roman"/>
                <w:w w:val="100"/>
                <w:kern w:val="0"/>
                <w:sz w:val="19"/>
                <w:szCs w:val="19"/>
              </w:rPr>
              <w:t>1).</w:t>
            </w:r>
          </w:p>
          <w:p w14:paraId="22895384" w14:textId="77777777" w:rsidR="00030303" w:rsidRPr="00DB2B77" w:rsidRDefault="00030303" w:rsidP="00030303">
            <w:pPr>
              <w:spacing w:after="0" w:line="240" w:lineRule="auto"/>
              <w:contextualSpacing/>
              <w:rPr>
                <w:rFonts w:eastAsia="Times New Roman"/>
                <w:w w:val="100"/>
                <w:kern w:val="0"/>
                <w:sz w:val="19"/>
                <w:szCs w:val="19"/>
              </w:rPr>
            </w:pPr>
          </w:p>
          <w:p w14:paraId="0955B9E3" w14:textId="77777777" w:rsidR="00030303" w:rsidRPr="00DB2B77" w:rsidRDefault="00030303" w:rsidP="00030303">
            <w:pPr>
              <w:spacing w:after="0" w:line="240" w:lineRule="auto"/>
              <w:rPr>
                <w:rFonts w:eastAsia="Times New Roman"/>
                <w:i/>
                <w:w w:val="100"/>
                <w:kern w:val="0"/>
                <w:sz w:val="19"/>
                <w:szCs w:val="19"/>
              </w:rPr>
            </w:pPr>
            <w:r w:rsidRPr="00DB2B77">
              <w:rPr>
                <w:rFonts w:eastAsia="Times New Roman"/>
                <w:i/>
                <w:w w:val="100"/>
                <w:kern w:val="0"/>
                <w:sz w:val="19"/>
                <w:szCs w:val="19"/>
              </w:rPr>
              <w:t>Threatening to take a reprisal</w:t>
            </w:r>
          </w:p>
          <w:p w14:paraId="38C8DF28" w14:textId="77777777" w:rsidR="00030303" w:rsidRPr="00DB2B77" w:rsidRDefault="00030303" w:rsidP="00030303">
            <w:pPr>
              <w:spacing w:after="0" w:line="240" w:lineRule="auto"/>
              <w:contextualSpacing/>
              <w:rPr>
                <w:rFonts w:eastAsia="Times New Roman"/>
                <w:w w:val="100"/>
                <w:kern w:val="0"/>
                <w:sz w:val="19"/>
                <w:szCs w:val="19"/>
              </w:rPr>
            </w:pPr>
          </w:p>
          <w:p w14:paraId="0D25C306" w14:textId="77777777" w:rsidR="00030303" w:rsidRPr="00DB2B77" w:rsidRDefault="00030303" w:rsidP="00030303">
            <w:pPr>
              <w:spacing w:after="0" w:line="240" w:lineRule="auto"/>
              <w:rPr>
                <w:rFonts w:eastAsia="Times New Roman"/>
                <w:w w:val="100"/>
                <w:kern w:val="0"/>
                <w:sz w:val="19"/>
                <w:szCs w:val="19"/>
              </w:rPr>
            </w:pPr>
            <w:r w:rsidRPr="00DB2B77">
              <w:rPr>
                <w:rFonts w:eastAsia="Times New Roman"/>
                <w:w w:val="100"/>
                <w:kern w:val="0"/>
                <w:sz w:val="19"/>
                <w:szCs w:val="19"/>
              </w:rPr>
              <w:t>A person (the first person) commits and offence if (s 1317</w:t>
            </w:r>
            <w:proofErr w:type="gramStart"/>
            <w:r w:rsidRPr="00DB2B77">
              <w:rPr>
                <w:rFonts w:eastAsia="Times New Roman"/>
                <w:w w:val="100"/>
                <w:kern w:val="0"/>
                <w:sz w:val="19"/>
                <w:szCs w:val="19"/>
              </w:rPr>
              <w:t>AC(</w:t>
            </w:r>
            <w:proofErr w:type="gramEnd"/>
            <w:r w:rsidRPr="00DB2B77">
              <w:rPr>
                <w:rFonts w:eastAsia="Times New Roman"/>
                <w:w w:val="100"/>
                <w:kern w:val="0"/>
                <w:sz w:val="19"/>
                <w:szCs w:val="19"/>
              </w:rPr>
              <w:t>2)):</w:t>
            </w:r>
          </w:p>
          <w:p w14:paraId="7CB76736"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the first person makes to another person (the second person) a threat to cause any detriment to the second person or to a third person; and</w:t>
            </w:r>
          </w:p>
          <w:p w14:paraId="22FF7F00"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the first person:</w:t>
            </w:r>
          </w:p>
          <w:p w14:paraId="3EB7EA8F" w14:textId="77777777" w:rsidR="00030303" w:rsidRPr="00DB2B77" w:rsidRDefault="00030303" w:rsidP="00030303">
            <w:pPr>
              <w:numPr>
                <w:ilvl w:val="1"/>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intends the second person to fear that the threat will be carried out; or</w:t>
            </w:r>
          </w:p>
          <w:p w14:paraId="30AE3556" w14:textId="77777777" w:rsidR="00030303" w:rsidRPr="00DB2B77" w:rsidRDefault="00030303" w:rsidP="00030303">
            <w:pPr>
              <w:numPr>
                <w:ilvl w:val="1"/>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 xml:space="preserve">is reckless as to causing the second person to fear that </w:t>
            </w:r>
            <w:r w:rsidRPr="00DB2B77">
              <w:rPr>
                <w:rFonts w:eastAsia="Times New Roman"/>
                <w:w w:val="100"/>
                <w:kern w:val="0"/>
                <w:sz w:val="19"/>
                <w:szCs w:val="19"/>
              </w:rPr>
              <w:lastRenderedPageBreak/>
              <w:t>the threat will be carried out; and</w:t>
            </w:r>
          </w:p>
          <w:p w14:paraId="2640DF5D"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the first person makes the threat because a person:</w:t>
            </w:r>
          </w:p>
          <w:p w14:paraId="21C5B254" w14:textId="77777777" w:rsidR="00030303" w:rsidRPr="00DB2B77" w:rsidRDefault="00030303" w:rsidP="00030303">
            <w:pPr>
              <w:numPr>
                <w:ilvl w:val="1"/>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makes a disclosure that qualifies for protection under this Part; or</w:t>
            </w:r>
          </w:p>
          <w:p w14:paraId="3856F531" w14:textId="77777777" w:rsidR="00030303" w:rsidRPr="00DB2B77" w:rsidRDefault="00030303" w:rsidP="00030303">
            <w:pPr>
              <w:numPr>
                <w:ilvl w:val="1"/>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may make a disclosure that would qualify for protection under this Part.</w:t>
            </w:r>
          </w:p>
          <w:p w14:paraId="7B0926DF" w14:textId="77777777" w:rsidR="00030303" w:rsidRPr="00DB2B77" w:rsidRDefault="00030303" w:rsidP="00030303">
            <w:pPr>
              <w:spacing w:after="0" w:line="240" w:lineRule="auto"/>
              <w:contextualSpacing/>
              <w:rPr>
                <w:rFonts w:eastAsia="Times New Roman"/>
                <w:w w:val="100"/>
                <w:kern w:val="0"/>
                <w:sz w:val="19"/>
                <w:szCs w:val="19"/>
              </w:rPr>
            </w:pPr>
          </w:p>
          <w:p w14:paraId="2925438E" w14:textId="77777777" w:rsidR="00030303" w:rsidRPr="00DB2B77" w:rsidRDefault="00030303" w:rsidP="00030303">
            <w:pPr>
              <w:spacing w:after="0" w:line="240" w:lineRule="auto"/>
              <w:contextualSpacing/>
              <w:rPr>
                <w:rFonts w:eastAsia="Times New Roman"/>
                <w:w w:val="100"/>
                <w:kern w:val="0"/>
                <w:sz w:val="19"/>
                <w:szCs w:val="19"/>
              </w:rPr>
            </w:pPr>
            <w:r w:rsidRPr="00DB2B77">
              <w:rPr>
                <w:rFonts w:eastAsia="Times New Roman"/>
                <w:w w:val="100"/>
                <w:kern w:val="0"/>
                <w:sz w:val="19"/>
                <w:szCs w:val="19"/>
              </w:rPr>
              <w:t>Penalty: 5000 penalty units: s 1311</w:t>
            </w:r>
            <w:proofErr w:type="gramStart"/>
            <w:r w:rsidRPr="00DB2B77">
              <w:rPr>
                <w:rFonts w:eastAsia="Times New Roman"/>
                <w:w w:val="100"/>
                <w:kern w:val="0"/>
                <w:sz w:val="19"/>
                <w:szCs w:val="19"/>
              </w:rPr>
              <w:t>B(</w:t>
            </w:r>
            <w:proofErr w:type="gramEnd"/>
            <w:r w:rsidRPr="00DB2B77">
              <w:rPr>
                <w:rFonts w:eastAsia="Times New Roman"/>
                <w:w w:val="100"/>
                <w:kern w:val="0"/>
                <w:sz w:val="19"/>
                <w:szCs w:val="19"/>
              </w:rPr>
              <w:t>1).</w:t>
            </w:r>
          </w:p>
          <w:p w14:paraId="159D72E2" w14:textId="77777777" w:rsidR="00030303" w:rsidRPr="00DB2B77" w:rsidRDefault="00030303" w:rsidP="00030303">
            <w:pPr>
              <w:spacing w:after="0" w:line="240" w:lineRule="auto"/>
              <w:contextualSpacing/>
              <w:rPr>
                <w:rFonts w:eastAsia="Times New Roman"/>
                <w:w w:val="100"/>
                <w:kern w:val="0"/>
                <w:sz w:val="19"/>
                <w:szCs w:val="19"/>
              </w:rPr>
            </w:pPr>
          </w:p>
          <w:p w14:paraId="544D08D7" w14:textId="77777777" w:rsidR="00030303" w:rsidRPr="00DB2B77" w:rsidRDefault="00030303" w:rsidP="00030303">
            <w:pPr>
              <w:spacing w:after="0" w:line="240" w:lineRule="auto"/>
              <w:contextualSpacing/>
              <w:rPr>
                <w:rFonts w:eastAsia="Times New Roman"/>
                <w:w w:val="100"/>
                <w:kern w:val="0"/>
                <w:sz w:val="19"/>
                <w:szCs w:val="19"/>
              </w:rPr>
            </w:pPr>
            <w:r w:rsidRPr="00DB2B77">
              <w:rPr>
                <w:rFonts w:eastAsia="Times New Roman"/>
                <w:w w:val="100"/>
                <w:kern w:val="0"/>
                <w:sz w:val="19"/>
                <w:szCs w:val="19"/>
              </w:rPr>
              <w:t>Note: Failure to comply with this subsection is an offence (see subsection 1311(1)).</w:t>
            </w:r>
          </w:p>
          <w:p w14:paraId="2A58F78C" w14:textId="77777777" w:rsidR="00030303" w:rsidRPr="00DB2B77" w:rsidRDefault="00030303" w:rsidP="00030303">
            <w:pPr>
              <w:spacing w:after="0" w:line="240" w:lineRule="auto"/>
              <w:rPr>
                <w:rFonts w:eastAsia="Times New Roman"/>
                <w:b/>
                <w:w w:val="100"/>
                <w:kern w:val="0"/>
                <w:sz w:val="19"/>
                <w:szCs w:val="19"/>
              </w:rPr>
            </w:pPr>
          </w:p>
        </w:tc>
        <w:tc>
          <w:tcPr>
            <w:tcW w:w="0" w:type="auto"/>
            <w:vAlign w:val="top"/>
          </w:tcPr>
          <w:p w14:paraId="321D8EBA" w14:textId="77777777" w:rsidR="00030303" w:rsidRPr="00DB2B77" w:rsidRDefault="00030303" w:rsidP="00030303">
            <w:pPr>
              <w:spacing w:after="0" w:line="240" w:lineRule="auto"/>
              <w:rPr>
                <w:rFonts w:eastAsia="Times New Roman"/>
                <w:i/>
                <w:w w:val="100"/>
                <w:kern w:val="0"/>
                <w:sz w:val="19"/>
                <w:szCs w:val="19"/>
              </w:rPr>
            </w:pPr>
            <w:r w:rsidRPr="00DB2B77">
              <w:rPr>
                <w:rFonts w:eastAsia="Times New Roman"/>
                <w:i/>
                <w:w w:val="100"/>
                <w:kern w:val="0"/>
                <w:sz w:val="19"/>
                <w:szCs w:val="19"/>
              </w:rPr>
              <w:lastRenderedPageBreak/>
              <w:t>Taking a reprisal</w:t>
            </w:r>
          </w:p>
          <w:p w14:paraId="32F93962" w14:textId="77777777" w:rsidR="00030303" w:rsidRPr="00DB2B77" w:rsidRDefault="00030303" w:rsidP="00030303">
            <w:pPr>
              <w:spacing w:after="0" w:line="240" w:lineRule="auto"/>
              <w:rPr>
                <w:rFonts w:eastAsia="Times New Roman"/>
                <w:w w:val="100"/>
                <w:kern w:val="0"/>
                <w:sz w:val="19"/>
                <w:szCs w:val="19"/>
              </w:rPr>
            </w:pPr>
          </w:p>
          <w:p w14:paraId="1E1B26D7" w14:textId="77777777" w:rsidR="00030303" w:rsidRPr="00DB2B77" w:rsidRDefault="00030303" w:rsidP="00030303">
            <w:pPr>
              <w:spacing w:after="0" w:line="240" w:lineRule="auto"/>
              <w:rPr>
                <w:rFonts w:eastAsia="Times New Roman"/>
                <w:b/>
                <w:w w:val="100"/>
                <w:kern w:val="0"/>
                <w:sz w:val="19"/>
                <w:szCs w:val="19"/>
              </w:rPr>
            </w:pPr>
            <w:r w:rsidRPr="00DB2B77">
              <w:rPr>
                <w:rFonts w:eastAsia="Times New Roman"/>
                <w:w w:val="100"/>
                <w:kern w:val="0"/>
                <w:sz w:val="19"/>
                <w:szCs w:val="19"/>
              </w:rPr>
              <w:t>A person commits an offence if (s 337</w:t>
            </w:r>
            <w:proofErr w:type="gramStart"/>
            <w:r w:rsidRPr="00DB2B77">
              <w:rPr>
                <w:rFonts w:eastAsia="Times New Roman"/>
                <w:w w:val="100"/>
                <w:kern w:val="0"/>
                <w:sz w:val="19"/>
                <w:szCs w:val="19"/>
              </w:rPr>
              <w:t>BE(</w:t>
            </w:r>
            <w:proofErr w:type="gramEnd"/>
            <w:r w:rsidRPr="00DB2B77">
              <w:rPr>
                <w:rFonts w:eastAsia="Times New Roman"/>
                <w:w w:val="100"/>
                <w:kern w:val="0"/>
                <w:sz w:val="19"/>
                <w:szCs w:val="19"/>
              </w:rPr>
              <w:t>1)):</w:t>
            </w:r>
          </w:p>
          <w:p w14:paraId="12ADCF77"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the person takes a reprisal against another person; and</w:t>
            </w:r>
          </w:p>
          <w:p w14:paraId="30FCB50A"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 xml:space="preserve">the person’s belief or suspicion that a person made, may have made, proposes to make or could make a disclosure that qualifies for protection under this Part is the reason, or part of the reason, </w:t>
            </w:r>
            <w:r w:rsidRPr="00DB2B77">
              <w:rPr>
                <w:rFonts w:eastAsia="Times New Roman"/>
                <w:w w:val="100"/>
                <w:kern w:val="0"/>
                <w:sz w:val="19"/>
                <w:szCs w:val="19"/>
              </w:rPr>
              <w:lastRenderedPageBreak/>
              <w:t>for taking the reprisal.</w:t>
            </w:r>
          </w:p>
          <w:p w14:paraId="69BA0BEF" w14:textId="77777777" w:rsidR="00030303" w:rsidRPr="00DB2B77" w:rsidRDefault="00030303" w:rsidP="00030303">
            <w:pPr>
              <w:spacing w:after="0" w:line="240" w:lineRule="auto"/>
              <w:rPr>
                <w:rFonts w:eastAsia="Times New Roman"/>
                <w:w w:val="100"/>
                <w:kern w:val="0"/>
                <w:sz w:val="19"/>
                <w:szCs w:val="19"/>
              </w:rPr>
            </w:pPr>
          </w:p>
          <w:p w14:paraId="2168BEB8" w14:textId="77777777" w:rsidR="00030303" w:rsidRPr="00DB2B77" w:rsidRDefault="00030303" w:rsidP="00030303">
            <w:pPr>
              <w:spacing w:after="0" w:line="240" w:lineRule="auto"/>
              <w:rPr>
                <w:rFonts w:eastAsia="Times New Roman"/>
                <w:w w:val="100"/>
                <w:kern w:val="0"/>
                <w:sz w:val="19"/>
                <w:szCs w:val="19"/>
              </w:rPr>
            </w:pPr>
            <w:r w:rsidRPr="00DB2B77">
              <w:rPr>
                <w:rFonts w:eastAsia="Times New Roman"/>
                <w:w w:val="100"/>
                <w:kern w:val="0"/>
                <w:sz w:val="19"/>
                <w:szCs w:val="19"/>
              </w:rPr>
              <w:t>Imprisonment for 2 years or 120 penalty units, or both.</w:t>
            </w:r>
          </w:p>
          <w:p w14:paraId="4A696C17" w14:textId="77777777" w:rsidR="00030303" w:rsidRPr="00DB2B77" w:rsidRDefault="00030303" w:rsidP="00030303">
            <w:pPr>
              <w:spacing w:after="0" w:line="240" w:lineRule="auto"/>
              <w:rPr>
                <w:rFonts w:eastAsia="Times New Roman"/>
                <w:w w:val="100"/>
                <w:kern w:val="0"/>
                <w:sz w:val="19"/>
                <w:szCs w:val="19"/>
              </w:rPr>
            </w:pPr>
          </w:p>
          <w:p w14:paraId="496480A0" w14:textId="77777777" w:rsidR="00030303" w:rsidRPr="00DB2B77" w:rsidRDefault="00030303" w:rsidP="00030303">
            <w:pPr>
              <w:spacing w:after="0" w:line="240" w:lineRule="auto"/>
              <w:rPr>
                <w:rFonts w:eastAsia="Times New Roman"/>
                <w:i/>
                <w:w w:val="100"/>
                <w:kern w:val="0"/>
                <w:sz w:val="19"/>
                <w:szCs w:val="19"/>
              </w:rPr>
            </w:pPr>
            <w:r w:rsidRPr="00DB2B77">
              <w:rPr>
                <w:rFonts w:eastAsia="Times New Roman"/>
                <w:i/>
                <w:w w:val="100"/>
                <w:kern w:val="0"/>
                <w:sz w:val="19"/>
                <w:szCs w:val="19"/>
              </w:rPr>
              <w:t>Threatening to take a reprisal</w:t>
            </w:r>
          </w:p>
          <w:p w14:paraId="2FA764E6" w14:textId="77777777" w:rsidR="00030303" w:rsidRPr="00DB2B77" w:rsidRDefault="00030303" w:rsidP="00030303">
            <w:pPr>
              <w:spacing w:after="0" w:line="240" w:lineRule="auto"/>
              <w:rPr>
                <w:rFonts w:eastAsia="Times New Roman"/>
                <w:w w:val="100"/>
                <w:kern w:val="0"/>
                <w:sz w:val="19"/>
                <w:szCs w:val="19"/>
              </w:rPr>
            </w:pPr>
          </w:p>
          <w:p w14:paraId="43D69F2D" w14:textId="77777777" w:rsidR="00030303" w:rsidRPr="00DB2B77" w:rsidRDefault="00030303" w:rsidP="00030303">
            <w:pPr>
              <w:spacing w:after="0" w:line="240" w:lineRule="auto"/>
              <w:rPr>
                <w:rFonts w:eastAsia="Times New Roman"/>
                <w:w w:val="100"/>
                <w:kern w:val="0"/>
                <w:sz w:val="19"/>
                <w:szCs w:val="19"/>
              </w:rPr>
            </w:pPr>
            <w:r w:rsidRPr="00DB2B77">
              <w:rPr>
                <w:rFonts w:eastAsia="Times New Roman"/>
                <w:w w:val="100"/>
                <w:kern w:val="0"/>
                <w:sz w:val="19"/>
                <w:szCs w:val="19"/>
              </w:rPr>
              <w:t>A person (the first person) commits an offence if (s 337</w:t>
            </w:r>
            <w:proofErr w:type="gramStart"/>
            <w:r w:rsidRPr="00DB2B77">
              <w:rPr>
                <w:rFonts w:eastAsia="Times New Roman"/>
                <w:w w:val="100"/>
                <w:kern w:val="0"/>
                <w:sz w:val="19"/>
                <w:szCs w:val="19"/>
              </w:rPr>
              <w:t>BE(</w:t>
            </w:r>
            <w:proofErr w:type="gramEnd"/>
            <w:r w:rsidRPr="00DB2B77">
              <w:rPr>
                <w:rFonts w:eastAsia="Times New Roman"/>
                <w:w w:val="100"/>
                <w:kern w:val="0"/>
                <w:sz w:val="19"/>
                <w:szCs w:val="19"/>
              </w:rPr>
              <w:t>3)):</w:t>
            </w:r>
          </w:p>
          <w:p w14:paraId="1BA5501A"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the first person makes a threat to another person (the second person) to take a reprisal against the second person or a third person; and</w:t>
            </w:r>
          </w:p>
          <w:p w14:paraId="2FFEA540"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the first person:</w:t>
            </w:r>
          </w:p>
          <w:p w14:paraId="57165DBE" w14:textId="77777777" w:rsidR="00030303" w:rsidRPr="00DB2B77" w:rsidRDefault="00030303" w:rsidP="00030303">
            <w:pPr>
              <w:numPr>
                <w:ilvl w:val="1"/>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intends the second person to fear that the threat will be carried out; or</w:t>
            </w:r>
          </w:p>
          <w:p w14:paraId="10172588" w14:textId="77777777" w:rsidR="00030303" w:rsidRPr="00DB2B77" w:rsidRDefault="00030303" w:rsidP="00030303">
            <w:pPr>
              <w:numPr>
                <w:ilvl w:val="1"/>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is reckless as to the second person fearing that the threat will be carried out; and</w:t>
            </w:r>
          </w:p>
          <w:p w14:paraId="63078E46"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 xml:space="preserve">the first person’s belief or suspicion </w:t>
            </w:r>
            <w:r w:rsidRPr="00DB2B77">
              <w:rPr>
                <w:rFonts w:eastAsia="Times New Roman"/>
                <w:w w:val="100"/>
                <w:kern w:val="0"/>
                <w:sz w:val="19"/>
                <w:szCs w:val="19"/>
              </w:rPr>
              <w:lastRenderedPageBreak/>
              <w:t>that a person made, may have made, proposes to make or could make a disclosure that qualifies for protection under this Part is the reason, or part of the reason, for making the threat.</w:t>
            </w:r>
          </w:p>
          <w:p w14:paraId="33E9F24A" w14:textId="77777777" w:rsidR="00030303" w:rsidRPr="00DB2B77" w:rsidRDefault="00030303" w:rsidP="00030303">
            <w:pPr>
              <w:spacing w:after="0" w:line="240" w:lineRule="auto"/>
              <w:contextualSpacing/>
              <w:rPr>
                <w:rFonts w:eastAsia="Times New Roman"/>
                <w:w w:val="100"/>
                <w:kern w:val="0"/>
                <w:sz w:val="19"/>
                <w:szCs w:val="19"/>
              </w:rPr>
            </w:pPr>
          </w:p>
          <w:p w14:paraId="3100D913" w14:textId="77777777" w:rsidR="00030303" w:rsidRPr="00DB2B77" w:rsidRDefault="00030303" w:rsidP="00030303">
            <w:pPr>
              <w:spacing w:after="0" w:line="240" w:lineRule="auto"/>
              <w:rPr>
                <w:rFonts w:eastAsia="Times New Roman"/>
                <w:w w:val="100"/>
                <w:kern w:val="0"/>
                <w:sz w:val="19"/>
                <w:szCs w:val="19"/>
              </w:rPr>
            </w:pPr>
            <w:r w:rsidRPr="00DB2B77">
              <w:rPr>
                <w:rFonts w:eastAsia="Times New Roman"/>
                <w:w w:val="100"/>
                <w:kern w:val="0"/>
                <w:sz w:val="19"/>
                <w:szCs w:val="19"/>
              </w:rPr>
              <w:t>Imprisonment for 2 years or 120 penalty units, or both.</w:t>
            </w:r>
          </w:p>
          <w:p w14:paraId="08947FBA" w14:textId="77777777" w:rsidR="00030303" w:rsidRPr="00DB2B77" w:rsidRDefault="00030303" w:rsidP="00030303">
            <w:pPr>
              <w:spacing w:after="0" w:line="240" w:lineRule="auto"/>
              <w:rPr>
                <w:rFonts w:eastAsia="Times New Roman"/>
                <w:w w:val="100"/>
                <w:kern w:val="0"/>
                <w:sz w:val="19"/>
                <w:szCs w:val="19"/>
              </w:rPr>
            </w:pPr>
          </w:p>
          <w:p w14:paraId="43F4C389" w14:textId="77777777" w:rsidR="00030303" w:rsidRPr="00DB2B77" w:rsidRDefault="00030303" w:rsidP="00030303">
            <w:pPr>
              <w:spacing w:after="0" w:line="240" w:lineRule="auto"/>
              <w:rPr>
                <w:rFonts w:eastAsia="Times New Roman"/>
                <w:w w:val="100"/>
                <w:kern w:val="0"/>
                <w:sz w:val="19"/>
                <w:szCs w:val="19"/>
              </w:rPr>
            </w:pPr>
            <w:r w:rsidRPr="00DB2B77">
              <w:rPr>
                <w:rFonts w:eastAsia="Times New Roman"/>
                <w:w w:val="100"/>
                <w:kern w:val="0"/>
                <w:sz w:val="19"/>
                <w:szCs w:val="19"/>
              </w:rPr>
              <w:t>Note: the threat may be express or implied, or conditional or unconditional.</w:t>
            </w:r>
          </w:p>
        </w:tc>
        <w:tc>
          <w:tcPr>
            <w:tcW w:w="0" w:type="auto"/>
            <w:vAlign w:val="top"/>
          </w:tcPr>
          <w:p w14:paraId="1FFE24C1" w14:textId="77777777" w:rsidR="00030303" w:rsidRPr="00DB2B77" w:rsidRDefault="00030303" w:rsidP="00030303">
            <w:pPr>
              <w:spacing w:after="0" w:line="240" w:lineRule="auto"/>
              <w:rPr>
                <w:rFonts w:eastAsia="Times New Roman"/>
                <w:i/>
                <w:iCs/>
                <w:w w:val="100"/>
                <w:kern w:val="0"/>
                <w:sz w:val="19"/>
                <w:szCs w:val="19"/>
              </w:rPr>
            </w:pPr>
            <w:proofErr w:type="gramStart"/>
            <w:r w:rsidRPr="00DB2B77">
              <w:rPr>
                <w:rFonts w:eastAsia="Times New Roman"/>
                <w:i/>
                <w:iCs/>
                <w:w w:val="100"/>
                <w:kern w:val="0"/>
                <w:sz w:val="19"/>
                <w:szCs w:val="19"/>
              </w:rPr>
              <w:lastRenderedPageBreak/>
              <w:t>Actually</w:t>
            </w:r>
            <w:proofErr w:type="gramEnd"/>
            <w:r w:rsidRPr="00DB2B77">
              <w:rPr>
                <w:rFonts w:eastAsia="Times New Roman"/>
                <w:i/>
                <w:iCs/>
                <w:w w:val="100"/>
                <w:kern w:val="0"/>
                <w:sz w:val="19"/>
                <w:szCs w:val="19"/>
              </w:rPr>
              <w:t xml:space="preserve"> causing detriment to another person</w:t>
            </w:r>
          </w:p>
          <w:p w14:paraId="73D4CC9D" w14:textId="77777777" w:rsidR="00030303" w:rsidRPr="00DB2B77" w:rsidRDefault="00030303" w:rsidP="00030303">
            <w:pPr>
              <w:spacing w:after="0" w:line="240" w:lineRule="auto"/>
              <w:rPr>
                <w:rFonts w:eastAsia="Times New Roman"/>
                <w:w w:val="100"/>
                <w:kern w:val="0"/>
                <w:sz w:val="19"/>
                <w:szCs w:val="19"/>
              </w:rPr>
            </w:pPr>
          </w:p>
          <w:p w14:paraId="45BA8E55" w14:textId="77777777" w:rsidR="00030303" w:rsidRPr="00DB2B77" w:rsidRDefault="00030303" w:rsidP="00030303">
            <w:pPr>
              <w:spacing w:after="0" w:line="240" w:lineRule="auto"/>
              <w:rPr>
                <w:rFonts w:eastAsia="Times New Roman"/>
                <w:b/>
                <w:w w:val="100"/>
                <w:kern w:val="0"/>
                <w:sz w:val="19"/>
                <w:szCs w:val="19"/>
              </w:rPr>
            </w:pPr>
            <w:r w:rsidRPr="00DB2B77">
              <w:rPr>
                <w:rFonts w:eastAsia="Times New Roman"/>
                <w:w w:val="100"/>
                <w:kern w:val="0"/>
                <w:sz w:val="19"/>
                <w:szCs w:val="19"/>
              </w:rPr>
              <w:t>A person (the first person) commits an offence if (s 14</w:t>
            </w:r>
            <w:proofErr w:type="gramStart"/>
            <w:r w:rsidRPr="00DB2B77">
              <w:rPr>
                <w:rFonts w:eastAsia="Times New Roman"/>
                <w:w w:val="100"/>
                <w:kern w:val="0"/>
                <w:sz w:val="19"/>
                <w:szCs w:val="19"/>
              </w:rPr>
              <w:t>ZZY(</w:t>
            </w:r>
            <w:proofErr w:type="gramEnd"/>
            <w:r w:rsidRPr="00DB2B77">
              <w:rPr>
                <w:rFonts w:eastAsia="Times New Roman"/>
                <w:w w:val="100"/>
                <w:kern w:val="0"/>
                <w:sz w:val="19"/>
                <w:szCs w:val="19"/>
              </w:rPr>
              <w:t>1)):</w:t>
            </w:r>
          </w:p>
          <w:p w14:paraId="20F330EB"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the first person engages in conduct; and</w:t>
            </w:r>
          </w:p>
          <w:p w14:paraId="2CA85946"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the first person’s conduct causes any detriment to another person (the second person); and</w:t>
            </w:r>
          </w:p>
          <w:p w14:paraId="5175AB38"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 xml:space="preserve">when the first person engages in the conduct, the first </w:t>
            </w:r>
            <w:r w:rsidRPr="00DB2B77">
              <w:rPr>
                <w:rFonts w:eastAsia="Times New Roman"/>
                <w:w w:val="100"/>
                <w:kern w:val="0"/>
                <w:sz w:val="19"/>
                <w:szCs w:val="19"/>
              </w:rPr>
              <w:lastRenderedPageBreak/>
              <w:t>person believes or suspects that the second person or any other person made, may have made, proposes to make or could make a disclosure that qualifies for protection under this Part; and</w:t>
            </w:r>
          </w:p>
          <w:p w14:paraId="2A36668D"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the belief or suspicion referred to in the paragraph above is the reason, or part of the reason, for the conduct.</w:t>
            </w:r>
          </w:p>
          <w:p w14:paraId="0408F596" w14:textId="77777777" w:rsidR="00030303" w:rsidRPr="00DB2B77" w:rsidRDefault="00030303" w:rsidP="00030303">
            <w:pPr>
              <w:spacing w:after="0" w:line="240" w:lineRule="auto"/>
              <w:rPr>
                <w:rFonts w:eastAsia="Times New Roman"/>
                <w:w w:val="100"/>
                <w:kern w:val="0"/>
                <w:sz w:val="19"/>
                <w:szCs w:val="19"/>
              </w:rPr>
            </w:pPr>
          </w:p>
          <w:p w14:paraId="66C21E1B" w14:textId="77777777" w:rsidR="00030303" w:rsidRPr="00DB2B77" w:rsidRDefault="00030303" w:rsidP="00030303">
            <w:pPr>
              <w:spacing w:after="0" w:line="240" w:lineRule="auto"/>
              <w:rPr>
                <w:rFonts w:eastAsia="Times New Roman"/>
                <w:w w:val="100"/>
                <w:kern w:val="0"/>
                <w:sz w:val="19"/>
                <w:szCs w:val="19"/>
              </w:rPr>
            </w:pPr>
            <w:r w:rsidRPr="00DB2B77">
              <w:rPr>
                <w:rFonts w:eastAsia="Times New Roman"/>
                <w:w w:val="100"/>
                <w:kern w:val="0"/>
                <w:sz w:val="19"/>
                <w:szCs w:val="19"/>
              </w:rPr>
              <w:t>Penalty:  Imprisonment for 2 years or 240 penalty units, or both.</w:t>
            </w:r>
          </w:p>
          <w:p w14:paraId="4009EEDD" w14:textId="77777777" w:rsidR="00030303" w:rsidRPr="00DB2B77" w:rsidRDefault="00030303" w:rsidP="00030303">
            <w:pPr>
              <w:spacing w:after="0" w:line="240" w:lineRule="auto"/>
              <w:rPr>
                <w:rFonts w:eastAsia="Times New Roman"/>
                <w:w w:val="100"/>
                <w:kern w:val="0"/>
                <w:sz w:val="19"/>
                <w:szCs w:val="19"/>
              </w:rPr>
            </w:pPr>
          </w:p>
          <w:p w14:paraId="581D7431" w14:textId="77777777" w:rsidR="00030303" w:rsidRPr="00DB2B77" w:rsidRDefault="00030303" w:rsidP="00030303">
            <w:pPr>
              <w:spacing w:after="0" w:line="240" w:lineRule="auto"/>
              <w:rPr>
                <w:rFonts w:eastAsia="Times New Roman"/>
                <w:i/>
                <w:w w:val="100"/>
                <w:kern w:val="0"/>
                <w:sz w:val="19"/>
                <w:szCs w:val="19"/>
              </w:rPr>
            </w:pPr>
            <w:r w:rsidRPr="00DB2B77">
              <w:rPr>
                <w:rFonts w:eastAsia="Times New Roman"/>
                <w:i/>
                <w:w w:val="100"/>
                <w:kern w:val="0"/>
                <w:sz w:val="19"/>
                <w:szCs w:val="19"/>
              </w:rPr>
              <w:t>Threatening to cause detriment to another person</w:t>
            </w:r>
          </w:p>
          <w:p w14:paraId="7CFF68D1" w14:textId="77777777" w:rsidR="00030303" w:rsidRPr="00DB2B77" w:rsidRDefault="00030303" w:rsidP="00030303">
            <w:pPr>
              <w:spacing w:after="0" w:line="240" w:lineRule="auto"/>
              <w:rPr>
                <w:rFonts w:eastAsia="Times New Roman"/>
                <w:w w:val="100"/>
                <w:kern w:val="0"/>
                <w:sz w:val="19"/>
                <w:szCs w:val="19"/>
              </w:rPr>
            </w:pPr>
          </w:p>
          <w:p w14:paraId="6D652524" w14:textId="77777777" w:rsidR="00030303" w:rsidRPr="00DB2B77" w:rsidRDefault="00030303" w:rsidP="00030303">
            <w:pPr>
              <w:spacing w:after="0" w:line="240" w:lineRule="auto"/>
              <w:rPr>
                <w:rFonts w:eastAsia="Times New Roman"/>
                <w:w w:val="100"/>
                <w:kern w:val="0"/>
                <w:sz w:val="19"/>
                <w:szCs w:val="19"/>
              </w:rPr>
            </w:pPr>
            <w:r w:rsidRPr="00DB2B77">
              <w:rPr>
                <w:rFonts w:eastAsia="Times New Roman"/>
                <w:w w:val="100"/>
                <w:kern w:val="0"/>
                <w:sz w:val="19"/>
                <w:szCs w:val="19"/>
              </w:rPr>
              <w:t>A person (the first person) commits an offence if (s 14</w:t>
            </w:r>
            <w:proofErr w:type="gramStart"/>
            <w:r w:rsidRPr="00DB2B77">
              <w:rPr>
                <w:rFonts w:eastAsia="Times New Roman"/>
                <w:w w:val="100"/>
                <w:kern w:val="0"/>
                <w:sz w:val="19"/>
                <w:szCs w:val="19"/>
              </w:rPr>
              <w:t>ZZY(</w:t>
            </w:r>
            <w:proofErr w:type="gramEnd"/>
            <w:r w:rsidRPr="00DB2B77">
              <w:rPr>
                <w:rFonts w:eastAsia="Times New Roman"/>
                <w:w w:val="100"/>
                <w:kern w:val="0"/>
                <w:sz w:val="19"/>
                <w:szCs w:val="19"/>
              </w:rPr>
              <w:t>2):</w:t>
            </w:r>
          </w:p>
          <w:p w14:paraId="5C4EC2CC"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 xml:space="preserve">the first person makes to another person (the second person) a threat to cause any detriment to the second person </w:t>
            </w:r>
            <w:r w:rsidRPr="00DB2B77">
              <w:rPr>
                <w:rFonts w:eastAsia="Times New Roman"/>
                <w:w w:val="100"/>
                <w:kern w:val="0"/>
                <w:sz w:val="19"/>
                <w:szCs w:val="19"/>
              </w:rPr>
              <w:lastRenderedPageBreak/>
              <w:t>or to a third person; and</w:t>
            </w:r>
          </w:p>
          <w:p w14:paraId="5493FB87"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the first person:</w:t>
            </w:r>
          </w:p>
          <w:p w14:paraId="4C2547B4" w14:textId="77777777" w:rsidR="00030303" w:rsidRPr="00DB2B77" w:rsidRDefault="00030303" w:rsidP="00030303">
            <w:pPr>
              <w:numPr>
                <w:ilvl w:val="1"/>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intends the second person to fear that the threat will be carried out; or</w:t>
            </w:r>
          </w:p>
          <w:p w14:paraId="4D3CA02D" w14:textId="77777777" w:rsidR="00030303" w:rsidRPr="00DB2B77" w:rsidRDefault="00030303" w:rsidP="00030303">
            <w:pPr>
              <w:numPr>
                <w:ilvl w:val="1"/>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is reckless as to causing the second person to fear that the threat will be carried out; and</w:t>
            </w:r>
          </w:p>
          <w:p w14:paraId="29D9CBBF"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the first person makes the threat because a person:</w:t>
            </w:r>
          </w:p>
          <w:p w14:paraId="236A195B" w14:textId="77777777" w:rsidR="00030303" w:rsidRPr="00DB2B77" w:rsidRDefault="00030303" w:rsidP="00030303">
            <w:pPr>
              <w:numPr>
                <w:ilvl w:val="1"/>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makes a disclosure that qualifies for protection under this Part; or</w:t>
            </w:r>
          </w:p>
          <w:p w14:paraId="385B9006" w14:textId="77777777" w:rsidR="00030303" w:rsidRPr="00DB2B77" w:rsidRDefault="00030303" w:rsidP="00030303">
            <w:pPr>
              <w:numPr>
                <w:ilvl w:val="1"/>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may make a disclosure that would qualify for protection under this Part.</w:t>
            </w:r>
          </w:p>
          <w:p w14:paraId="2BB11976" w14:textId="77777777" w:rsidR="00030303" w:rsidRPr="00DB2B77" w:rsidRDefault="00030303" w:rsidP="00030303">
            <w:pPr>
              <w:spacing w:after="0" w:line="240" w:lineRule="auto"/>
              <w:rPr>
                <w:rFonts w:eastAsia="Times New Roman"/>
                <w:w w:val="100"/>
                <w:kern w:val="0"/>
                <w:sz w:val="19"/>
                <w:szCs w:val="19"/>
              </w:rPr>
            </w:pPr>
          </w:p>
          <w:p w14:paraId="442A9131" w14:textId="77777777" w:rsidR="00030303" w:rsidRPr="00DB2B77" w:rsidRDefault="00030303" w:rsidP="00030303">
            <w:pPr>
              <w:spacing w:after="0" w:line="240" w:lineRule="auto"/>
              <w:rPr>
                <w:rFonts w:eastAsia="Times New Roman"/>
                <w:w w:val="100"/>
                <w:kern w:val="0"/>
                <w:sz w:val="19"/>
                <w:szCs w:val="19"/>
              </w:rPr>
            </w:pPr>
            <w:r w:rsidRPr="00DB2B77">
              <w:rPr>
                <w:rFonts w:eastAsia="Times New Roman"/>
                <w:w w:val="100"/>
                <w:kern w:val="0"/>
                <w:sz w:val="19"/>
                <w:szCs w:val="19"/>
              </w:rPr>
              <w:t>Penalty:  Imprisonment for 2 years or 240 penalty units, or both.</w:t>
            </w:r>
          </w:p>
          <w:p w14:paraId="3010F006" w14:textId="77777777" w:rsidR="00030303" w:rsidRPr="00DB2B77" w:rsidRDefault="00030303" w:rsidP="00030303">
            <w:pPr>
              <w:spacing w:after="0" w:line="240" w:lineRule="auto"/>
              <w:rPr>
                <w:rFonts w:eastAsia="Times New Roman"/>
                <w:w w:val="100"/>
                <w:kern w:val="0"/>
                <w:sz w:val="19"/>
                <w:szCs w:val="19"/>
              </w:rPr>
            </w:pPr>
          </w:p>
          <w:p w14:paraId="14D4ED40" w14:textId="77777777" w:rsidR="00030303" w:rsidRPr="00DB2B77" w:rsidRDefault="00030303" w:rsidP="00030303">
            <w:pPr>
              <w:spacing w:after="0" w:line="240" w:lineRule="auto"/>
              <w:rPr>
                <w:rFonts w:eastAsia="Times New Roman"/>
                <w:w w:val="100"/>
                <w:kern w:val="0"/>
                <w:sz w:val="19"/>
                <w:szCs w:val="19"/>
              </w:rPr>
            </w:pPr>
            <w:r w:rsidRPr="00DB2B77">
              <w:rPr>
                <w:rFonts w:eastAsia="Times New Roman"/>
                <w:w w:val="100"/>
                <w:kern w:val="0"/>
                <w:sz w:val="19"/>
                <w:szCs w:val="19"/>
              </w:rPr>
              <w:t xml:space="preserve">Note: the threat may be express or implied, </w:t>
            </w:r>
            <w:r w:rsidRPr="00DB2B77">
              <w:rPr>
                <w:rFonts w:eastAsia="Times New Roman"/>
                <w:w w:val="100"/>
                <w:kern w:val="0"/>
                <w:sz w:val="19"/>
                <w:szCs w:val="19"/>
              </w:rPr>
              <w:lastRenderedPageBreak/>
              <w:t>or conditional or unconditional.</w:t>
            </w:r>
          </w:p>
        </w:tc>
      </w:tr>
      <w:tr w:rsidR="00030303" w:rsidRPr="00DB2B77" w14:paraId="0ACCF188" w14:textId="77777777" w:rsidTr="00030303">
        <w:tc>
          <w:tcPr>
            <w:tcW w:w="0" w:type="auto"/>
            <w:vAlign w:val="top"/>
            <w:hideMark/>
          </w:tcPr>
          <w:p w14:paraId="22C663D9" w14:textId="77777777" w:rsidR="00030303" w:rsidRPr="00DB2B77" w:rsidRDefault="00030303" w:rsidP="00030303">
            <w:pPr>
              <w:spacing w:after="0" w:line="240" w:lineRule="auto"/>
              <w:rPr>
                <w:rFonts w:eastAsia="Times New Roman"/>
                <w:b/>
                <w:w w:val="100"/>
                <w:kern w:val="0"/>
                <w:sz w:val="19"/>
                <w:szCs w:val="19"/>
              </w:rPr>
            </w:pPr>
            <w:r w:rsidRPr="00DB2B77">
              <w:rPr>
                <w:rFonts w:eastAsia="Times New Roman"/>
                <w:b/>
                <w:w w:val="100"/>
                <w:kern w:val="0"/>
                <w:sz w:val="19"/>
                <w:szCs w:val="19"/>
              </w:rPr>
              <w:lastRenderedPageBreak/>
              <w:t>Interaction between civil proceedings and criminal offences</w:t>
            </w:r>
          </w:p>
        </w:tc>
        <w:tc>
          <w:tcPr>
            <w:tcW w:w="0" w:type="auto"/>
            <w:vAlign w:val="top"/>
          </w:tcPr>
          <w:p w14:paraId="2FF13C32" w14:textId="77777777" w:rsidR="00030303" w:rsidRPr="00DB2B77" w:rsidRDefault="00030303" w:rsidP="00030303">
            <w:pPr>
              <w:spacing w:after="0" w:line="240" w:lineRule="auto"/>
              <w:rPr>
                <w:rFonts w:eastAsia="Times New Roman"/>
                <w:w w:val="100"/>
                <w:kern w:val="0"/>
                <w:sz w:val="19"/>
                <w:szCs w:val="19"/>
              </w:rPr>
            </w:pPr>
            <w:r w:rsidRPr="00DB2B77">
              <w:rPr>
                <w:rFonts w:eastAsia="Times New Roman"/>
                <w:color w:val="000000"/>
                <w:w w:val="100"/>
                <w:kern w:val="0"/>
                <w:sz w:val="19"/>
                <w:szCs w:val="19"/>
                <w:shd w:val="clear" w:color="auto" w:fill="FFFFFF"/>
              </w:rPr>
              <w:t>A </w:t>
            </w:r>
            <w:r w:rsidRPr="00DB2B77">
              <w:rPr>
                <w:rFonts w:eastAsia="Times New Roman"/>
                <w:w w:val="100"/>
                <w:kern w:val="0"/>
                <w:sz w:val="19"/>
                <w:szCs w:val="19"/>
              </w:rPr>
              <w:t>person may bring proceedings under section 14, 15 or 16 in relation to the taking of a reprisal, or the threat to take a reprisal, even if a prosecution for an offence against section 19 in relation to the reprisal or threat has not been brought, or cannot be brought (s 19A).</w:t>
            </w:r>
          </w:p>
        </w:tc>
        <w:tc>
          <w:tcPr>
            <w:tcW w:w="0" w:type="auto"/>
            <w:vAlign w:val="top"/>
          </w:tcPr>
          <w:p w14:paraId="549F2520" w14:textId="77777777" w:rsidR="00030303" w:rsidRPr="00DB2B77" w:rsidRDefault="00030303" w:rsidP="00030303">
            <w:pPr>
              <w:spacing w:after="0" w:line="240" w:lineRule="auto"/>
              <w:rPr>
                <w:rFonts w:eastAsia="Times New Roman"/>
                <w:w w:val="100"/>
                <w:kern w:val="0"/>
                <w:sz w:val="19"/>
                <w:szCs w:val="19"/>
              </w:rPr>
            </w:pPr>
          </w:p>
        </w:tc>
        <w:tc>
          <w:tcPr>
            <w:tcW w:w="0" w:type="auto"/>
            <w:vAlign w:val="top"/>
          </w:tcPr>
          <w:p w14:paraId="78602A18" w14:textId="77777777" w:rsidR="00030303" w:rsidRPr="00DB2B77" w:rsidRDefault="00030303" w:rsidP="00030303">
            <w:pPr>
              <w:spacing w:after="0" w:line="240" w:lineRule="auto"/>
              <w:rPr>
                <w:rFonts w:eastAsia="Times New Roman"/>
                <w:w w:val="100"/>
                <w:kern w:val="0"/>
                <w:sz w:val="19"/>
                <w:szCs w:val="19"/>
              </w:rPr>
            </w:pPr>
          </w:p>
        </w:tc>
        <w:tc>
          <w:tcPr>
            <w:tcW w:w="0" w:type="auto"/>
            <w:vAlign w:val="top"/>
          </w:tcPr>
          <w:p w14:paraId="1C3BC305" w14:textId="77777777" w:rsidR="00030303" w:rsidRPr="00DB2B77" w:rsidRDefault="00030303" w:rsidP="00030303">
            <w:pPr>
              <w:spacing w:after="0" w:line="240" w:lineRule="auto"/>
              <w:rPr>
                <w:rFonts w:eastAsia="Times New Roman"/>
                <w:b/>
                <w:w w:val="100"/>
                <w:kern w:val="0"/>
                <w:sz w:val="19"/>
                <w:szCs w:val="19"/>
              </w:rPr>
            </w:pPr>
            <w:r w:rsidRPr="00DB2B77">
              <w:rPr>
                <w:rFonts w:eastAsia="Times New Roman"/>
                <w:w w:val="100"/>
                <w:kern w:val="0"/>
                <w:sz w:val="19"/>
                <w:szCs w:val="19"/>
              </w:rPr>
              <w:t>To avoid doubt, a person may bring civil proceedings for an order under section 1317AE, or civil proceedings for a contravention of subsection 1317AC in relation to particular conduct, even if a prosecution for a criminal offence against section 1317AC in relation to that conduct has not been brought, or cannot be brought (s 1317AF).</w:t>
            </w:r>
          </w:p>
        </w:tc>
        <w:tc>
          <w:tcPr>
            <w:tcW w:w="0" w:type="auto"/>
            <w:vAlign w:val="top"/>
          </w:tcPr>
          <w:p w14:paraId="3BB56AA9" w14:textId="77777777" w:rsidR="00030303" w:rsidRPr="00DB2B77" w:rsidRDefault="00030303" w:rsidP="00030303">
            <w:pPr>
              <w:spacing w:after="0" w:line="240" w:lineRule="auto"/>
              <w:rPr>
                <w:rFonts w:eastAsia="Times New Roman"/>
                <w:w w:val="100"/>
                <w:kern w:val="0"/>
                <w:sz w:val="19"/>
                <w:szCs w:val="19"/>
              </w:rPr>
            </w:pPr>
            <w:r w:rsidRPr="00DB2B77">
              <w:rPr>
                <w:rFonts w:eastAsia="Times New Roman"/>
                <w:w w:val="100"/>
                <w:kern w:val="0"/>
                <w:sz w:val="19"/>
                <w:szCs w:val="19"/>
              </w:rPr>
              <w:t>A person may bring civil proceedings under section 337BB, or civil proceedings for a contravention of subsection 337</w:t>
            </w:r>
            <w:proofErr w:type="gramStart"/>
            <w:r w:rsidRPr="00DB2B77">
              <w:rPr>
                <w:rFonts w:eastAsia="Times New Roman"/>
                <w:w w:val="100"/>
                <w:kern w:val="0"/>
                <w:sz w:val="19"/>
                <w:szCs w:val="19"/>
              </w:rPr>
              <w:t>BD(</w:t>
            </w:r>
            <w:proofErr w:type="gramEnd"/>
            <w:r w:rsidRPr="00DB2B77">
              <w:rPr>
                <w:rFonts w:eastAsia="Times New Roman"/>
                <w:w w:val="100"/>
                <w:kern w:val="0"/>
                <w:sz w:val="19"/>
                <w:szCs w:val="19"/>
              </w:rPr>
              <w:t>1) or (3), in relation to the taking of a reprisal, or the threat to take a reprisal, even if a prosecution for a criminal offence against section 337BE in relation to the reprisal or threat has not been brought, or cannot be brought (s 337BF).</w:t>
            </w:r>
          </w:p>
        </w:tc>
        <w:tc>
          <w:tcPr>
            <w:tcW w:w="0" w:type="auto"/>
            <w:vAlign w:val="top"/>
          </w:tcPr>
          <w:p w14:paraId="39C9B90D" w14:textId="77777777" w:rsidR="00030303" w:rsidRPr="00DB2B77" w:rsidRDefault="00030303" w:rsidP="00030303">
            <w:pPr>
              <w:spacing w:after="0" w:line="240" w:lineRule="auto"/>
              <w:rPr>
                <w:rFonts w:eastAsia="Times New Roman"/>
                <w:b/>
                <w:w w:val="100"/>
                <w:kern w:val="0"/>
                <w:sz w:val="19"/>
                <w:szCs w:val="19"/>
              </w:rPr>
            </w:pPr>
            <w:r w:rsidRPr="00DB2B77">
              <w:rPr>
                <w:rFonts w:eastAsia="Times New Roman"/>
                <w:w w:val="100"/>
                <w:kern w:val="0"/>
                <w:sz w:val="19"/>
                <w:szCs w:val="19"/>
              </w:rPr>
              <w:t>To avoid doubt, a person may bring civil proceedings under section 14ZZZA in relation to conduct even if a prosecution for a criminal offence against section 14ZZY in relation to the conduct has not been brought, or cannot be brought (s</w:t>
            </w:r>
            <w:r w:rsidRPr="00DB2B77">
              <w:rPr>
                <w:rFonts w:eastAsia="Times New Roman"/>
                <w:b/>
                <w:w w:val="100"/>
                <w:kern w:val="0"/>
                <w:sz w:val="19"/>
                <w:szCs w:val="19"/>
              </w:rPr>
              <w:t xml:space="preserve"> </w:t>
            </w:r>
            <w:r w:rsidRPr="00DB2B77">
              <w:rPr>
                <w:rFonts w:eastAsia="Times New Roman"/>
                <w:w w:val="100"/>
                <w:kern w:val="0"/>
                <w:sz w:val="19"/>
                <w:szCs w:val="19"/>
              </w:rPr>
              <w:t>14ZZZD).</w:t>
            </w:r>
          </w:p>
        </w:tc>
      </w:tr>
      <w:tr w:rsidR="00030303" w:rsidRPr="00DB2B77" w14:paraId="557B5B61" w14:textId="77777777" w:rsidTr="00030303">
        <w:tc>
          <w:tcPr>
            <w:tcW w:w="0" w:type="auto"/>
            <w:vAlign w:val="top"/>
            <w:hideMark/>
          </w:tcPr>
          <w:p w14:paraId="735A9EA8" w14:textId="77777777" w:rsidR="00030303" w:rsidRPr="00DB2B77" w:rsidRDefault="00030303" w:rsidP="00030303">
            <w:pPr>
              <w:spacing w:after="0" w:line="240" w:lineRule="auto"/>
              <w:rPr>
                <w:rFonts w:eastAsia="Times New Roman"/>
                <w:b/>
                <w:w w:val="100"/>
                <w:kern w:val="0"/>
                <w:sz w:val="19"/>
                <w:szCs w:val="19"/>
              </w:rPr>
            </w:pPr>
            <w:r w:rsidRPr="00DB2B77">
              <w:rPr>
                <w:rFonts w:eastAsia="Times New Roman"/>
                <w:b/>
                <w:w w:val="100"/>
                <w:kern w:val="0"/>
                <w:sz w:val="19"/>
                <w:szCs w:val="19"/>
              </w:rPr>
              <w:t>Protections have effect despite other Commonwealth laws</w:t>
            </w:r>
          </w:p>
        </w:tc>
        <w:tc>
          <w:tcPr>
            <w:tcW w:w="0" w:type="auto"/>
            <w:vAlign w:val="top"/>
          </w:tcPr>
          <w:p w14:paraId="76859255" w14:textId="77777777" w:rsidR="00030303" w:rsidRPr="00DB2B77" w:rsidRDefault="00030303" w:rsidP="00030303">
            <w:pPr>
              <w:spacing w:after="0" w:line="240" w:lineRule="auto"/>
              <w:rPr>
                <w:rFonts w:eastAsia="Times New Roman"/>
                <w:w w:val="100"/>
                <w:kern w:val="0"/>
                <w:sz w:val="19"/>
                <w:szCs w:val="19"/>
              </w:rPr>
            </w:pPr>
            <w:r w:rsidRPr="00DB2B77">
              <w:rPr>
                <w:rFonts w:eastAsia="Times New Roman"/>
                <w:w w:val="100"/>
                <w:kern w:val="0"/>
                <w:sz w:val="19"/>
                <w:szCs w:val="19"/>
              </w:rPr>
              <w:t>The protections in s 14, 15 and 16 have effect despite any other provision of a law of the Commonwealth, unless (s 24):</w:t>
            </w:r>
          </w:p>
          <w:p w14:paraId="7D4BB818"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the provision is enacted after the commencement of this section; and</w:t>
            </w:r>
          </w:p>
          <w:p w14:paraId="5CE25C3D"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the provision is expressed to have effect despite this Part or that section.</w:t>
            </w:r>
          </w:p>
        </w:tc>
        <w:tc>
          <w:tcPr>
            <w:tcW w:w="0" w:type="auto"/>
            <w:vAlign w:val="top"/>
          </w:tcPr>
          <w:p w14:paraId="72F9832C" w14:textId="77777777" w:rsidR="00030303" w:rsidRPr="00DB2B77" w:rsidRDefault="00030303" w:rsidP="00030303">
            <w:pPr>
              <w:spacing w:after="0" w:line="240" w:lineRule="auto"/>
              <w:rPr>
                <w:rFonts w:eastAsia="Times New Roman"/>
                <w:w w:val="100"/>
                <w:kern w:val="0"/>
                <w:sz w:val="19"/>
                <w:szCs w:val="19"/>
              </w:rPr>
            </w:pPr>
          </w:p>
        </w:tc>
        <w:tc>
          <w:tcPr>
            <w:tcW w:w="0" w:type="auto"/>
            <w:vAlign w:val="top"/>
          </w:tcPr>
          <w:p w14:paraId="692A2837" w14:textId="77777777" w:rsidR="00030303" w:rsidRPr="00DB2B77" w:rsidRDefault="00030303" w:rsidP="00030303">
            <w:pPr>
              <w:spacing w:after="0" w:line="240" w:lineRule="auto"/>
              <w:rPr>
                <w:rFonts w:eastAsia="Times New Roman"/>
                <w:w w:val="100"/>
                <w:kern w:val="0"/>
                <w:sz w:val="19"/>
                <w:szCs w:val="19"/>
              </w:rPr>
            </w:pPr>
          </w:p>
        </w:tc>
        <w:tc>
          <w:tcPr>
            <w:tcW w:w="0" w:type="auto"/>
            <w:vAlign w:val="top"/>
          </w:tcPr>
          <w:p w14:paraId="1155C24A" w14:textId="77777777" w:rsidR="00030303" w:rsidRPr="00DB2B77" w:rsidRDefault="00030303" w:rsidP="00030303">
            <w:pPr>
              <w:spacing w:after="0" w:line="240" w:lineRule="auto"/>
              <w:rPr>
                <w:rFonts w:eastAsia="Times New Roman"/>
                <w:w w:val="100"/>
                <w:kern w:val="0"/>
                <w:sz w:val="19"/>
                <w:szCs w:val="19"/>
              </w:rPr>
            </w:pPr>
          </w:p>
        </w:tc>
        <w:tc>
          <w:tcPr>
            <w:tcW w:w="0" w:type="auto"/>
            <w:vAlign w:val="top"/>
          </w:tcPr>
          <w:p w14:paraId="220B5179" w14:textId="77777777" w:rsidR="00030303" w:rsidRPr="00DB2B77" w:rsidRDefault="00030303" w:rsidP="00030303">
            <w:pPr>
              <w:spacing w:after="0" w:line="240" w:lineRule="auto"/>
              <w:rPr>
                <w:rFonts w:eastAsia="Times New Roman"/>
                <w:w w:val="100"/>
                <w:kern w:val="0"/>
                <w:sz w:val="19"/>
                <w:szCs w:val="19"/>
              </w:rPr>
            </w:pPr>
            <w:r w:rsidRPr="00DB2B77">
              <w:rPr>
                <w:rFonts w:eastAsia="Times New Roman"/>
                <w:w w:val="100"/>
                <w:kern w:val="0"/>
                <w:sz w:val="19"/>
                <w:szCs w:val="19"/>
              </w:rPr>
              <w:t>The protections in s 337B and 337BB has effect despite any other provision of a law of the Commonwealth, unless (s 337BG):</w:t>
            </w:r>
          </w:p>
          <w:p w14:paraId="27415877"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the provision is enacted after the commencement of this section; and</w:t>
            </w:r>
          </w:p>
          <w:p w14:paraId="10EB87FA"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the provision is expressed to have effect despite this Part or that section.</w:t>
            </w:r>
          </w:p>
        </w:tc>
        <w:tc>
          <w:tcPr>
            <w:tcW w:w="0" w:type="auto"/>
            <w:vAlign w:val="top"/>
          </w:tcPr>
          <w:p w14:paraId="36CC44E2" w14:textId="77777777" w:rsidR="00030303" w:rsidRPr="00DB2B77" w:rsidRDefault="00030303" w:rsidP="00030303">
            <w:pPr>
              <w:spacing w:after="0" w:line="240" w:lineRule="auto"/>
              <w:rPr>
                <w:rFonts w:eastAsia="Times New Roman"/>
                <w:w w:val="100"/>
                <w:kern w:val="0"/>
                <w:sz w:val="19"/>
                <w:szCs w:val="19"/>
              </w:rPr>
            </w:pPr>
          </w:p>
        </w:tc>
      </w:tr>
      <w:tr w:rsidR="00030303" w:rsidRPr="00DB2B77" w14:paraId="161ED34A" w14:textId="77777777" w:rsidTr="00030303">
        <w:tc>
          <w:tcPr>
            <w:tcW w:w="0" w:type="auto"/>
            <w:vAlign w:val="top"/>
          </w:tcPr>
          <w:p w14:paraId="786D8ACD" w14:textId="77777777" w:rsidR="00030303" w:rsidRPr="00DB2B77" w:rsidRDefault="00030303" w:rsidP="00030303">
            <w:pPr>
              <w:spacing w:after="0" w:line="240" w:lineRule="auto"/>
              <w:rPr>
                <w:rFonts w:eastAsia="Times New Roman"/>
                <w:b/>
                <w:w w:val="100"/>
                <w:kern w:val="0"/>
                <w:sz w:val="19"/>
                <w:szCs w:val="19"/>
              </w:rPr>
            </w:pPr>
            <w:r w:rsidRPr="00DB2B77">
              <w:rPr>
                <w:rFonts w:eastAsia="Times New Roman"/>
                <w:b/>
                <w:w w:val="100"/>
                <w:kern w:val="0"/>
                <w:sz w:val="19"/>
                <w:szCs w:val="19"/>
              </w:rPr>
              <w:lastRenderedPageBreak/>
              <w:t>Other relevant provisions</w:t>
            </w:r>
          </w:p>
        </w:tc>
        <w:tc>
          <w:tcPr>
            <w:tcW w:w="0" w:type="auto"/>
            <w:vAlign w:val="top"/>
          </w:tcPr>
          <w:p w14:paraId="1D72D043" w14:textId="77777777" w:rsidR="00030303" w:rsidRPr="00DB2B77" w:rsidRDefault="00030303" w:rsidP="00030303">
            <w:pPr>
              <w:spacing w:after="0" w:line="240" w:lineRule="auto"/>
              <w:rPr>
                <w:rFonts w:eastAsia="Times New Roman"/>
                <w:w w:val="100"/>
                <w:kern w:val="0"/>
                <w:sz w:val="19"/>
                <w:szCs w:val="19"/>
              </w:rPr>
            </w:pPr>
          </w:p>
        </w:tc>
        <w:tc>
          <w:tcPr>
            <w:tcW w:w="0" w:type="auto"/>
            <w:vAlign w:val="top"/>
          </w:tcPr>
          <w:p w14:paraId="58AC627F" w14:textId="77777777" w:rsidR="00030303" w:rsidRPr="00DB2B77" w:rsidRDefault="00030303" w:rsidP="00030303">
            <w:pPr>
              <w:spacing w:after="0" w:line="240" w:lineRule="auto"/>
              <w:rPr>
                <w:rFonts w:eastAsia="Times New Roman"/>
                <w:w w:val="100"/>
                <w:kern w:val="0"/>
                <w:sz w:val="19"/>
                <w:szCs w:val="19"/>
              </w:rPr>
            </w:pPr>
            <w:r w:rsidRPr="00DB2B77">
              <w:rPr>
                <w:rFonts w:eastAsia="Times New Roman"/>
                <w:w w:val="100"/>
                <w:kern w:val="0"/>
                <w:sz w:val="19"/>
                <w:szCs w:val="19"/>
              </w:rPr>
              <w:t>Part 3A, Division 8 provides a number of compliance and enforcement protections to investigate and enforce the disclosure protections outlined above.</w:t>
            </w:r>
          </w:p>
          <w:p w14:paraId="684B78E7" w14:textId="77777777" w:rsidR="00030303" w:rsidRPr="00DB2B77" w:rsidRDefault="00030303" w:rsidP="00030303">
            <w:pPr>
              <w:spacing w:after="0" w:line="240" w:lineRule="auto"/>
              <w:rPr>
                <w:rFonts w:eastAsia="Times New Roman"/>
                <w:w w:val="100"/>
                <w:kern w:val="0"/>
                <w:sz w:val="19"/>
                <w:szCs w:val="19"/>
              </w:rPr>
            </w:pPr>
          </w:p>
          <w:p w14:paraId="326A1CCC" w14:textId="77777777" w:rsidR="00030303" w:rsidRPr="00DB2B77" w:rsidRDefault="00030303" w:rsidP="00030303">
            <w:pPr>
              <w:spacing w:after="0" w:line="240" w:lineRule="auto"/>
              <w:rPr>
                <w:rFonts w:eastAsia="Times New Roman"/>
                <w:w w:val="100"/>
                <w:kern w:val="0"/>
                <w:sz w:val="19"/>
                <w:szCs w:val="19"/>
              </w:rPr>
            </w:pPr>
            <w:r w:rsidRPr="00DB2B77">
              <w:rPr>
                <w:rFonts w:eastAsia="Times New Roman"/>
                <w:w w:val="100"/>
                <w:kern w:val="0"/>
                <w:sz w:val="19"/>
                <w:szCs w:val="19"/>
              </w:rPr>
              <w:t>In addition, the National Disability Insurance Scheme (Code of Conduct) Rules 2018 (</w:t>
            </w:r>
            <w:r w:rsidRPr="00DB2B77">
              <w:rPr>
                <w:rFonts w:eastAsia="Times New Roman"/>
                <w:b/>
                <w:w w:val="100"/>
                <w:kern w:val="0"/>
                <w:sz w:val="19"/>
                <w:szCs w:val="19"/>
              </w:rPr>
              <w:t>NDIS Code of Conduct</w:t>
            </w:r>
            <w:r w:rsidRPr="00DB2B77">
              <w:rPr>
                <w:rFonts w:eastAsia="Times New Roman"/>
                <w:w w:val="100"/>
                <w:kern w:val="0"/>
                <w:sz w:val="19"/>
                <w:szCs w:val="19"/>
              </w:rPr>
              <w:t>) s 6 requires all NSI Providers and persons employed or otherwise engaged by an NDIS provider to:</w:t>
            </w:r>
          </w:p>
          <w:p w14:paraId="2BDF80A6"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act with respect for individual rights to freedom of expression, self-determination and decision-making in accordance with applicable laws and conventions; and</w:t>
            </w:r>
          </w:p>
          <w:p w14:paraId="38571F2C"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lastRenderedPageBreak/>
              <w:t>respect the privacy of people with disability; and</w:t>
            </w:r>
          </w:p>
          <w:p w14:paraId="01539DAD"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provide supports and services in a safe and competent manner, with care and skill; and</w:t>
            </w:r>
          </w:p>
          <w:p w14:paraId="7FD49C48"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act with integrity, honesty and transparency; and</w:t>
            </w:r>
          </w:p>
          <w:p w14:paraId="1A7C7D55"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promptly take steps to raise and act on concerns about matters that may impact the quality and safety of supports and services provided to people with disability; and</w:t>
            </w:r>
          </w:p>
          <w:p w14:paraId="34E0D89B"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 xml:space="preserve">take all reasonable steps to prevent and respond to all forms of violence against, and exploitation, neglect and abuse of, people </w:t>
            </w:r>
            <w:r w:rsidRPr="00DB2B77">
              <w:rPr>
                <w:rFonts w:eastAsia="Times New Roman"/>
                <w:w w:val="100"/>
                <w:kern w:val="0"/>
                <w:sz w:val="19"/>
                <w:szCs w:val="19"/>
              </w:rPr>
              <w:lastRenderedPageBreak/>
              <w:t>with disability; and</w:t>
            </w:r>
          </w:p>
          <w:p w14:paraId="30E28B06" w14:textId="77777777" w:rsidR="00030303" w:rsidRPr="00DB2B77" w:rsidRDefault="00030303" w:rsidP="00030303">
            <w:pPr>
              <w:numPr>
                <w:ilvl w:val="0"/>
                <w:numId w:val="11"/>
              </w:numPr>
              <w:spacing w:after="0" w:line="240" w:lineRule="auto"/>
              <w:contextualSpacing/>
              <w:rPr>
                <w:rFonts w:eastAsia="Times New Roman"/>
                <w:w w:val="100"/>
                <w:kern w:val="0"/>
                <w:sz w:val="19"/>
                <w:szCs w:val="19"/>
              </w:rPr>
            </w:pPr>
            <w:r w:rsidRPr="00DB2B77">
              <w:rPr>
                <w:rFonts w:eastAsia="Times New Roman"/>
                <w:w w:val="100"/>
                <w:kern w:val="0"/>
                <w:sz w:val="19"/>
                <w:szCs w:val="19"/>
              </w:rPr>
              <w:t>take all reasonable steps to prevent and respond to sexual misconduct.</w:t>
            </w:r>
          </w:p>
          <w:p w14:paraId="7DFC416A" w14:textId="77777777" w:rsidR="00030303" w:rsidRPr="00DB2B77" w:rsidRDefault="00030303" w:rsidP="00030303">
            <w:pPr>
              <w:spacing w:after="0" w:line="240" w:lineRule="auto"/>
              <w:contextualSpacing/>
              <w:rPr>
                <w:rFonts w:eastAsia="Times New Roman"/>
                <w:w w:val="100"/>
                <w:kern w:val="0"/>
                <w:sz w:val="19"/>
                <w:szCs w:val="19"/>
              </w:rPr>
            </w:pPr>
          </w:p>
          <w:p w14:paraId="51667059" w14:textId="77777777" w:rsidR="00030303" w:rsidRPr="00DB2B77" w:rsidRDefault="00030303" w:rsidP="00030303">
            <w:pPr>
              <w:spacing w:after="0" w:line="240" w:lineRule="auto"/>
              <w:contextualSpacing/>
              <w:rPr>
                <w:rFonts w:eastAsia="Times New Roman"/>
                <w:w w:val="100"/>
                <w:kern w:val="0"/>
                <w:sz w:val="19"/>
                <w:szCs w:val="19"/>
              </w:rPr>
            </w:pPr>
            <w:r w:rsidRPr="00DB2B77">
              <w:rPr>
                <w:rFonts w:eastAsia="Times New Roman"/>
                <w:w w:val="100"/>
                <w:kern w:val="0"/>
                <w:sz w:val="19"/>
                <w:szCs w:val="19"/>
              </w:rPr>
              <w:t>Failure to comply with the NDIS Code of Conduct carries a civil penalty of 250 penalty units: s 73</w:t>
            </w:r>
            <w:proofErr w:type="gramStart"/>
            <w:r w:rsidRPr="00DB2B77">
              <w:rPr>
                <w:rFonts w:eastAsia="Times New Roman"/>
                <w:w w:val="100"/>
                <w:kern w:val="0"/>
                <w:sz w:val="19"/>
                <w:szCs w:val="19"/>
              </w:rPr>
              <w:t>V(</w:t>
            </w:r>
            <w:proofErr w:type="gramEnd"/>
            <w:r w:rsidRPr="00DB2B77">
              <w:rPr>
                <w:rFonts w:eastAsia="Times New Roman"/>
                <w:w w:val="100"/>
                <w:kern w:val="0"/>
                <w:sz w:val="19"/>
                <w:szCs w:val="19"/>
              </w:rPr>
              <w:t>3).</w:t>
            </w:r>
          </w:p>
        </w:tc>
        <w:tc>
          <w:tcPr>
            <w:tcW w:w="0" w:type="auto"/>
            <w:vAlign w:val="top"/>
          </w:tcPr>
          <w:p w14:paraId="61F0F573" w14:textId="77777777" w:rsidR="00030303" w:rsidRPr="00DB2B77" w:rsidRDefault="00030303" w:rsidP="00030303">
            <w:pPr>
              <w:spacing w:after="0" w:line="240" w:lineRule="auto"/>
              <w:rPr>
                <w:rFonts w:eastAsia="Times New Roman"/>
                <w:w w:val="100"/>
                <w:kern w:val="0"/>
                <w:sz w:val="19"/>
                <w:szCs w:val="19"/>
              </w:rPr>
            </w:pPr>
          </w:p>
        </w:tc>
        <w:tc>
          <w:tcPr>
            <w:tcW w:w="0" w:type="auto"/>
            <w:vAlign w:val="top"/>
          </w:tcPr>
          <w:p w14:paraId="740524ED" w14:textId="77777777" w:rsidR="00030303" w:rsidRPr="00DB2B77" w:rsidRDefault="00030303" w:rsidP="00030303">
            <w:pPr>
              <w:spacing w:after="0" w:line="240" w:lineRule="auto"/>
              <w:rPr>
                <w:rFonts w:eastAsia="Times New Roman"/>
                <w:w w:val="100"/>
                <w:kern w:val="0"/>
                <w:sz w:val="19"/>
                <w:szCs w:val="19"/>
              </w:rPr>
            </w:pPr>
          </w:p>
        </w:tc>
        <w:tc>
          <w:tcPr>
            <w:tcW w:w="0" w:type="auto"/>
            <w:vAlign w:val="top"/>
          </w:tcPr>
          <w:p w14:paraId="0466845F" w14:textId="77777777" w:rsidR="00030303" w:rsidRPr="00DB2B77" w:rsidRDefault="00030303" w:rsidP="00030303">
            <w:pPr>
              <w:spacing w:after="0" w:line="240" w:lineRule="auto"/>
              <w:rPr>
                <w:rFonts w:eastAsia="Times New Roman"/>
                <w:w w:val="100"/>
                <w:kern w:val="0"/>
                <w:sz w:val="19"/>
                <w:szCs w:val="19"/>
              </w:rPr>
            </w:pPr>
          </w:p>
        </w:tc>
        <w:tc>
          <w:tcPr>
            <w:tcW w:w="0" w:type="auto"/>
            <w:vAlign w:val="top"/>
          </w:tcPr>
          <w:p w14:paraId="6BF0F61E" w14:textId="77777777" w:rsidR="00030303" w:rsidRPr="00DB2B77" w:rsidRDefault="00030303" w:rsidP="00030303">
            <w:pPr>
              <w:spacing w:after="0" w:line="240" w:lineRule="auto"/>
              <w:rPr>
                <w:rFonts w:eastAsia="Times New Roman"/>
                <w:w w:val="100"/>
                <w:kern w:val="0"/>
                <w:sz w:val="19"/>
                <w:szCs w:val="19"/>
              </w:rPr>
            </w:pPr>
          </w:p>
        </w:tc>
      </w:tr>
    </w:tbl>
    <w:p w14:paraId="379C710F" w14:textId="77777777" w:rsidR="00030303" w:rsidRDefault="00030303" w:rsidP="00030303">
      <w:pPr>
        <w:spacing w:after="160" w:line="259" w:lineRule="auto"/>
        <w:rPr>
          <w:b/>
        </w:rPr>
        <w:sectPr w:rsidR="00030303" w:rsidSect="00030303">
          <w:footerReference w:type="default" r:id="rId7"/>
          <w:pgSz w:w="16840" w:h="11907" w:orient="landscape" w:code="9"/>
          <w:pgMar w:top="1440" w:right="1440" w:bottom="1440" w:left="1440" w:header="708" w:footer="708" w:gutter="0"/>
          <w:cols w:space="708"/>
          <w:docGrid w:linePitch="360"/>
        </w:sectPr>
      </w:pPr>
    </w:p>
    <w:p w14:paraId="69DF26C5" w14:textId="77777777" w:rsidR="00030303" w:rsidRDefault="00030303" w:rsidP="00030303">
      <w:pPr>
        <w:pStyle w:val="Heading1"/>
        <w:tabs>
          <w:tab w:val="num" w:pos="0"/>
        </w:tabs>
        <w:rPr>
          <w:sz w:val="36"/>
          <w:szCs w:val="36"/>
          <w:lang w:eastAsia="en-AU"/>
        </w:rPr>
      </w:pPr>
      <w:r w:rsidRPr="0095643D">
        <w:rPr>
          <w:sz w:val="36"/>
          <w:szCs w:val="36"/>
          <w:lang w:eastAsia="en-AU"/>
        </w:rPr>
        <w:lastRenderedPageBreak/>
        <w:t xml:space="preserve">Appendix </w:t>
      </w:r>
      <w:r>
        <w:rPr>
          <w:sz w:val="36"/>
          <w:szCs w:val="36"/>
          <w:lang w:eastAsia="en-AU"/>
        </w:rPr>
        <w:t>E</w:t>
      </w:r>
      <w:r w:rsidRPr="0095643D">
        <w:rPr>
          <w:sz w:val="36"/>
          <w:szCs w:val="36"/>
          <w:lang w:eastAsia="en-AU"/>
        </w:rPr>
        <w:t xml:space="preserve">: List of </w:t>
      </w:r>
      <w:r>
        <w:rPr>
          <w:sz w:val="36"/>
          <w:szCs w:val="36"/>
          <w:lang w:eastAsia="en-AU"/>
        </w:rPr>
        <w:t>previous Royal Commissions</w:t>
      </w:r>
      <w:r w:rsidRPr="00235428">
        <w:rPr>
          <w:sz w:val="36"/>
          <w:szCs w:val="36"/>
          <w:lang w:eastAsia="en-AU"/>
        </w:rPr>
        <w:t xml:space="preserve"> </w:t>
      </w:r>
    </w:p>
    <w:p w14:paraId="30DF3DF7" w14:textId="77777777" w:rsidR="00030303" w:rsidRPr="00050A83" w:rsidRDefault="00030303" w:rsidP="00030303">
      <w:pPr>
        <w:rPr>
          <w:lang w:val="en-GB" w:eastAsia="en-AU"/>
        </w:rPr>
      </w:pPr>
    </w:p>
    <w:p w14:paraId="7F5903DE" w14:textId="77777777" w:rsidR="00030303" w:rsidRDefault="00030303" w:rsidP="00030303">
      <w:pPr>
        <w:rPr>
          <w:rFonts w:asciiTheme="minorHAnsi" w:eastAsia="Times New Roman" w:hAnsiTheme="minorHAnsi" w:cstheme="minorHAnsi"/>
          <w:w w:val="100"/>
          <w:kern w:val="0"/>
          <w:lang w:eastAsia="en-AU"/>
        </w:rPr>
      </w:pPr>
      <w:r>
        <w:t>This table provides a complete list of Commonwealth Royal Commissions since Federation in 1901, specifying the date on which Letters Patent were issued for each Royal Commission, and the date on which the Final Report of the Commission was presented to the Governor-General. Note, anticipated end dates have been included in relation to current Royal Commissions.</w:t>
      </w:r>
    </w:p>
    <w:tbl>
      <w:tblPr>
        <w:tblStyle w:val="TableGrid2"/>
        <w:tblW w:w="5000" w:type="pct"/>
        <w:tblInd w:w="0"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0850"/>
        <w:gridCol w:w="3582"/>
      </w:tblGrid>
      <w:tr w:rsidR="00030303" w:rsidRPr="00DB2B77" w14:paraId="2BACE4E5" w14:textId="77777777" w:rsidTr="00030303">
        <w:trPr>
          <w:tblHeader/>
        </w:trPr>
        <w:tc>
          <w:tcPr>
            <w:tcW w:w="3759" w:type="pct"/>
            <w:tcBorders>
              <w:top w:val="single" w:sz="4" w:space="0" w:color="auto"/>
              <w:left w:val="single" w:sz="4" w:space="0" w:color="auto"/>
              <w:bottom w:val="single" w:sz="4" w:space="0" w:color="auto"/>
              <w:right w:val="nil"/>
            </w:tcBorders>
            <w:shd w:val="clear" w:color="auto" w:fill="D9D9D9"/>
            <w:vAlign w:val="top"/>
            <w:hideMark/>
          </w:tcPr>
          <w:p w14:paraId="14F6655F" w14:textId="77777777" w:rsidR="00030303" w:rsidRPr="00D96D9D" w:rsidRDefault="00030303" w:rsidP="00030303">
            <w:pPr>
              <w:keepLines/>
              <w:widowControl w:val="0"/>
              <w:spacing w:before="60" w:after="0" w:line="240" w:lineRule="atLeast"/>
              <w:rPr>
                <w:rFonts w:asciiTheme="minorHAnsi" w:eastAsia="Times New Roman" w:hAnsiTheme="minorHAnsi" w:cstheme="minorHAnsi"/>
                <w:b/>
                <w:w w:val="100"/>
                <w:kern w:val="0"/>
                <w:sz w:val="19"/>
                <w:szCs w:val="19"/>
                <w:lang w:eastAsia="en-AU"/>
              </w:rPr>
            </w:pPr>
            <w:r w:rsidRPr="00D96D9D">
              <w:rPr>
                <w:rFonts w:asciiTheme="minorHAnsi" w:eastAsia="Times New Roman" w:hAnsiTheme="minorHAnsi" w:cstheme="minorHAnsi"/>
                <w:b/>
                <w:w w:val="100"/>
                <w:kern w:val="0"/>
                <w:sz w:val="19"/>
                <w:szCs w:val="19"/>
                <w:lang w:eastAsia="en-AU"/>
              </w:rPr>
              <w:t>Title</w:t>
            </w:r>
          </w:p>
        </w:tc>
        <w:tc>
          <w:tcPr>
            <w:tcW w:w="1241" w:type="pct"/>
            <w:tcBorders>
              <w:top w:val="single" w:sz="4" w:space="0" w:color="auto"/>
              <w:left w:val="nil"/>
              <w:bottom w:val="single" w:sz="4" w:space="0" w:color="auto"/>
              <w:right w:val="single" w:sz="4" w:space="0" w:color="auto"/>
            </w:tcBorders>
            <w:shd w:val="clear" w:color="auto" w:fill="D9D9D9"/>
            <w:vAlign w:val="top"/>
            <w:hideMark/>
          </w:tcPr>
          <w:p w14:paraId="4B9B9B98" w14:textId="77777777" w:rsidR="00030303" w:rsidRPr="00D96D9D" w:rsidRDefault="00030303" w:rsidP="00030303">
            <w:pPr>
              <w:keepLines/>
              <w:widowControl w:val="0"/>
              <w:spacing w:before="60" w:after="0" w:line="240" w:lineRule="atLeast"/>
              <w:rPr>
                <w:rFonts w:asciiTheme="minorHAnsi" w:eastAsia="Times New Roman" w:hAnsiTheme="minorHAnsi" w:cstheme="minorHAnsi"/>
                <w:b/>
                <w:w w:val="100"/>
                <w:kern w:val="0"/>
                <w:sz w:val="19"/>
                <w:szCs w:val="19"/>
                <w:lang w:eastAsia="en-AU"/>
              </w:rPr>
            </w:pPr>
            <w:r w:rsidRPr="00D96D9D">
              <w:rPr>
                <w:rFonts w:asciiTheme="minorHAnsi" w:eastAsia="Times New Roman" w:hAnsiTheme="minorHAnsi" w:cstheme="minorHAnsi"/>
                <w:b/>
                <w:w w:val="100"/>
                <w:kern w:val="0"/>
                <w:sz w:val="19"/>
                <w:szCs w:val="19"/>
                <w:lang w:eastAsia="en-AU"/>
              </w:rPr>
              <w:t>Date of Letters Patent - Date Final Report Presented</w:t>
            </w:r>
          </w:p>
        </w:tc>
      </w:tr>
      <w:tr w:rsidR="00030303" w:rsidRPr="00DB2B77" w14:paraId="710BF5AE" w14:textId="77777777" w:rsidTr="00030303">
        <w:tc>
          <w:tcPr>
            <w:tcW w:w="3759" w:type="pct"/>
            <w:tcBorders>
              <w:top w:val="single" w:sz="4" w:space="0" w:color="auto"/>
              <w:left w:val="single" w:sz="4" w:space="0" w:color="auto"/>
              <w:bottom w:val="single" w:sz="4" w:space="0" w:color="auto"/>
              <w:right w:val="nil"/>
            </w:tcBorders>
            <w:vAlign w:val="top"/>
            <w:hideMark/>
          </w:tcPr>
          <w:p w14:paraId="22D5F465" w14:textId="77777777" w:rsidR="00030303" w:rsidRPr="00D96D9D" w:rsidRDefault="00030303" w:rsidP="00030303">
            <w:pPr>
              <w:spacing w:before="60" w:after="60" w:line="240" w:lineRule="atLeast"/>
              <w:rPr>
                <w:rFonts w:asciiTheme="minorHAnsi" w:eastAsia="Times New Roman" w:hAnsiTheme="minorHAnsi" w:cstheme="minorHAnsi"/>
                <w:i/>
                <w:w w:val="100"/>
                <w:kern w:val="0"/>
                <w:sz w:val="19"/>
                <w:szCs w:val="19"/>
                <w:lang w:eastAsia="en-AU"/>
              </w:rPr>
            </w:pPr>
            <w:r w:rsidRPr="00D96D9D">
              <w:rPr>
                <w:rFonts w:asciiTheme="minorHAnsi" w:eastAsia="Times New Roman" w:hAnsiTheme="minorHAnsi" w:cstheme="minorHAnsi"/>
                <w:w w:val="100"/>
                <w:kern w:val="0"/>
                <w:sz w:val="19"/>
                <w:szCs w:val="19"/>
                <w:lang w:eastAsia="en-AU"/>
              </w:rPr>
              <w:t xml:space="preserve">Royal Commission appointed to inquire into and report upon the arrangements made for the transport of troops returning from service in South Africa in the S.S. “Drayton </w:t>
            </w:r>
            <w:proofErr w:type="gramStart"/>
            <w:r w:rsidRPr="00D96D9D">
              <w:rPr>
                <w:rFonts w:asciiTheme="minorHAnsi" w:eastAsia="Times New Roman" w:hAnsiTheme="minorHAnsi" w:cstheme="minorHAnsi"/>
                <w:w w:val="100"/>
                <w:kern w:val="0"/>
                <w:sz w:val="19"/>
                <w:szCs w:val="19"/>
                <w:lang w:eastAsia="en-AU"/>
              </w:rPr>
              <w:t>Grange”…</w:t>
            </w:r>
            <w:proofErr w:type="gramEnd"/>
          </w:p>
        </w:tc>
        <w:tc>
          <w:tcPr>
            <w:tcW w:w="1241" w:type="pct"/>
            <w:tcBorders>
              <w:top w:val="single" w:sz="4" w:space="0" w:color="auto"/>
              <w:left w:val="nil"/>
              <w:bottom w:val="single" w:sz="4" w:space="0" w:color="auto"/>
              <w:right w:val="single" w:sz="4" w:space="0" w:color="auto"/>
            </w:tcBorders>
            <w:shd w:val="clear" w:color="auto" w:fill="D9D9D9"/>
            <w:vAlign w:val="top"/>
            <w:hideMark/>
          </w:tcPr>
          <w:p w14:paraId="050D79F2" w14:textId="77777777" w:rsidR="00030303" w:rsidRPr="00D96D9D" w:rsidRDefault="00030303" w:rsidP="00030303">
            <w:pPr>
              <w:spacing w:before="60" w:after="60" w:line="240" w:lineRule="atLeast"/>
              <w:rPr>
                <w:rFonts w:asciiTheme="minorHAnsi" w:eastAsia="Times New Roman" w:hAnsiTheme="minorHAnsi" w:cstheme="minorHAnsi"/>
                <w:w w:val="100"/>
                <w:kern w:val="0"/>
                <w:sz w:val="19"/>
                <w:szCs w:val="19"/>
                <w:lang w:eastAsia="en-AU"/>
              </w:rPr>
            </w:pPr>
            <w:r w:rsidRPr="00D96D9D">
              <w:rPr>
                <w:rFonts w:asciiTheme="minorHAnsi" w:eastAsia="Times New Roman" w:hAnsiTheme="minorHAnsi" w:cstheme="minorHAnsi"/>
                <w:w w:val="100"/>
                <w:kern w:val="0"/>
                <w:sz w:val="19"/>
                <w:szCs w:val="19"/>
                <w:lang w:eastAsia="en-AU"/>
              </w:rPr>
              <w:t>12 August – 9 October 1902</w:t>
            </w:r>
          </w:p>
        </w:tc>
      </w:tr>
      <w:tr w:rsidR="00030303" w:rsidRPr="00DB2B77" w14:paraId="7B7F9282" w14:textId="77777777" w:rsidTr="00030303">
        <w:tc>
          <w:tcPr>
            <w:tcW w:w="3759" w:type="pct"/>
            <w:tcBorders>
              <w:top w:val="single" w:sz="4" w:space="0" w:color="auto"/>
              <w:left w:val="single" w:sz="4" w:space="0" w:color="auto"/>
              <w:bottom w:val="single" w:sz="4" w:space="0" w:color="auto"/>
              <w:right w:val="nil"/>
            </w:tcBorders>
            <w:vAlign w:val="top"/>
          </w:tcPr>
          <w:p w14:paraId="72DCF9F6" w14:textId="77777777" w:rsidR="00030303" w:rsidRPr="00D96D9D" w:rsidRDefault="00030303" w:rsidP="00030303">
            <w:pPr>
              <w:spacing w:after="0" w:line="240" w:lineRule="auto"/>
              <w:rPr>
                <w:rFonts w:asciiTheme="minorHAnsi" w:eastAsia="Times New Roman" w:hAnsiTheme="minorHAnsi" w:cs="Times New Roman"/>
                <w:color w:val="222222"/>
                <w:w w:val="100"/>
                <w:kern w:val="0"/>
                <w:sz w:val="19"/>
                <w:szCs w:val="19"/>
              </w:rPr>
            </w:pPr>
            <w:r w:rsidRPr="00D96D9D">
              <w:rPr>
                <w:rFonts w:asciiTheme="minorHAnsi" w:hAnsiTheme="minorHAnsi"/>
                <w:color w:val="222222"/>
                <w:sz w:val="19"/>
                <w:szCs w:val="19"/>
              </w:rPr>
              <w:t>Royal Commission on sites for the seat of government of the Commonwealth</w:t>
            </w:r>
          </w:p>
        </w:tc>
        <w:tc>
          <w:tcPr>
            <w:tcW w:w="1241" w:type="pct"/>
            <w:tcBorders>
              <w:top w:val="single" w:sz="4" w:space="0" w:color="auto"/>
              <w:left w:val="nil"/>
              <w:bottom w:val="single" w:sz="4" w:space="0" w:color="auto"/>
              <w:right w:val="single" w:sz="4" w:space="0" w:color="auto"/>
            </w:tcBorders>
            <w:shd w:val="clear" w:color="auto" w:fill="D9D9D9"/>
            <w:vAlign w:val="top"/>
          </w:tcPr>
          <w:p w14:paraId="226E45FC" w14:textId="77777777" w:rsidR="00030303" w:rsidRPr="00D96D9D" w:rsidRDefault="00030303" w:rsidP="00030303">
            <w:pPr>
              <w:rPr>
                <w:rFonts w:asciiTheme="minorHAnsi" w:hAnsiTheme="minorHAnsi"/>
                <w:color w:val="222222"/>
                <w:sz w:val="19"/>
                <w:szCs w:val="19"/>
              </w:rPr>
            </w:pPr>
            <w:r w:rsidRPr="00D96D9D">
              <w:rPr>
                <w:rFonts w:asciiTheme="minorHAnsi" w:hAnsiTheme="minorHAnsi"/>
                <w:color w:val="222222"/>
                <w:sz w:val="19"/>
                <w:szCs w:val="19"/>
              </w:rPr>
              <w:t>14 January–17 July 1903</w:t>
            </w:r>
          </w:p>
        </w:tc>
      </w:tr>
      <w:tr w:rsidR="00030303" w:rsidRPr="00DB2B77" w14:paraId="14A32FD9" w14:textId="77777777" w:rsidTr="00030303">
        <w:tc>
          <w:tcPr>
            <w:tcW w:w="3759" w:type="pct"/>
            <w:tcBorders>
              <w:top w:val="single" w:sz="4" w:space="0" w:color="auto"/>
              <w:left w:val="single" w:sz="4" w:space="0" w:color="auto"/>
              <w:bottom w:val="single" w:sz="4" w:space="0" w:color="auto"/>
              <w:right w:val="nil"/>
            </w:tcBorders>
            <w:vAlign w:val="top"/>
          </w:tcPr>
          <w:p w14:paraId="68248DBE" w14:textId="77777777" w:rsidR="00030303" w:rsidRPr="00D96D9D" w:rsidRDefault="00030303" w:rsidP="00030303">
            <w:pPr>
              <w:spacing w:after="0" w:line="240" w:lineRule="auto"/>
              <w:rPr>
                <w:rFonts w:asciiTheme="minorHAnsi" w:eastAsia="Times New Roman" w:hAnsiTheme="minorHAnsi" w:cs="Times New Roman"/>
                <w:color w:val="222222"/>
                <w:w w:val="100"/>
                <w:kern w:val="0"/>
                <w:sz w:val="19"/>
                <w:szCs w:val="19"/>
              </w:rPr>
            </w:pPr>
            <w:r w:rsidRPr="00D96D9D">
              <w:rPr>
                <w:rFonts w:asciiTheme="minorHAnsi" w:hAnsiTheme="minorHAnsi"/>
                <w:color w:val="222222"/>
                <w:sz w:val="19"/>
                <w:szCs w:val="19"/>
              </w:rPr>
              <w:t>Royal Commission on the Bonuses for Manufactures Bill</w:t>
            </w:r>
          </w:p>
        </w:tc>
        <w:tc>
          <w:tcPr>
            <w:tcW w:w="1241" w:type="pct"/>
            <w:tcBorders>
              <w:top w:val="single" w:sz="4" w:space="0" w:color="auto"/>
              <w:left w:val="nil"/>
              <w:bottom w:val="single" w:sz="4" w:space="0" w:color="auto"/>
              <w:right w:val="single" w:sz="4" w:space="0" w:color="auto"/>
            </w:tcBorders>
            <w:shd w:val="clear" w:color="auto" w:fill="D9D9D9"/>
            <w:vAlign w:val="top"/>
          </w:tcPr>
          <w:p w14:paraId="5D5EB06D" w14:textId="77777777" w:rsidR="00030303" w:rsidRPr="00D96D9D" w:rsidRDefault="00030303" w:rsidP="00030303">
            <w:pPr>
              <w:rPr>
                <w:rFonts w:asciiTheme="minorHAnsi" w:hAnsiTheme="minorHAnsi"/>
                <w:color w:val="222222"/>
                <w:sz w:val="19"/>
                <w:szCs w:val="19"/>
              </w:rPr>
            </w:pPr>
            <w:r w:rsidRPr="00D96D9D">
              <w:rPr>
                <w:rFonts w:asciiTheme="minorHAnsi" w:hAnsiTheme="minorHAnsi"/>
                <w:color w:val="222222"/>
                <w:sz w:val="19"/>
                <w:szCs w:val="19"/>
              </w:rPr>
              <w:t>15 January 1903–2 March 1904</w:t>
            </w:r>
          </w:p>
        </w:tc>
      </w:tr>
      <w:tr w:rsidR="00030303" w:rsidRPr="00DB2B77" w14:paraId="2984F532" w14:textId="77777777" w:rsidTr="00030303">
        <w:tc>
          <w:tcPr>
            <w:tcW w:w="3759" w:type="pct"/>
            <w:tcBorders>
              <w:top w:val="single" w:sz="4" w:space="0" w:color="auto"/>
              <w:left w:val="single" w:sz="4" w:space="0" w:color="auto"/>
              <w:bottom w:val="single" w:sz="4" w:space="0" w:color="auto"/>
              <w:right w:val="nil"/>
            </w:tcBorders>
            <w:vAlign w:val="top"/>
          </w:tcPr>
          <w:p w14:paraId="536F6109" w14:textId="77777777" w:rsidR="00030303" w:rsidRPr="00D96D9D" w:rsidRDefault="00030303" w:rsidP="00030303">
            <w:pPr>
              <w:spacing w:after="0" w:line="240" w:lineRule="auto"/>
              <w:rPr>
                <w:rFonts w:asciiTheme="minorHAnsi" w:eastAsia="Times New Roman" w:hAnsiTheme="minorHAnsi" w:cs="Times New Roman"/>
                <w:color w:val="222222"/>
                <w:w w:val="100"/>
                <w:kern w:val="0"/>
                <w:sz w:val="19"/>
                <w:szCs w:val="19"/>
              </w:rPr>
            </w:pPr>
            <w:r w:rsidRPr="00D96D9D">
              <w:rPr>
                <w:rFonts w:asciiTheme="minorHAnsi" w:hAnsiTheme="minorHAnsi"/>
                <w:color w:val="222222"/>
                <w:sz w:val="19"/>
                <w:szCs w:val="19"/>
              </w:rPr>
              <w:t>Royal Commission on the butter industry</w:t>
            </w:r>
          </w:p>
        </w:tc>
        <w:tc>
          <w:tcPr>
            <w:tcW w:w="1241" w:type="pct"/>
            <w:tcBorders>
              <w:top w:val="single" w:sz="4" w:space="0" w:color="auto"/>
              <w:left w:val="nil"/>
              <w:bottom w:val="single" w:sz="4" w:space="0" w:color="auto"/>
              <w:right w:val="single" w:sz="4" w:space="0" w:color="auto"/>
            </w:tcBorders>
            <w:shd w:val="clear" w:color="auto" w:fill="D9D9D9"/>
            <w:vAlign w:val="top"/>
          </w:tcPr>
          <w:p w14:paraId="72EA81DD" w14:textId="77777777" w:rsidR="00030303" w:rsidRPr="00D96D9D" w:rsidRDefault="00030303" w:rsidP="00030303">
            <w:pPr>
              <w:rPr>
                <w:rFonts w:asciiTheme="minorHAnsi" w:hAnsiTheme="minorHAnsi"/>
                <w:color w:val="222222"/>
                <w:sz w:val="19"/>
                <w:szCs w:val="19"/>
              </w:rPr>
            </w:pPr>
            <w:r w:rsidRPr="00D96D9D">
              <w:rPr>
                <w:rFonts w:asciiTheme="minorHAnsi" w:hAnsiTheme="minorHAnsi"/>
                <w:color w:val="222222"/>
                <w:sz w:val="19"/>
                <w:szCs w:val="19"/>
              </w:rPr>
              <w:t>11 April 1904–27 July 1905</w:t>
            </w:r>
          </w:p>
        </w:tc>
      </w:tr>
      <w:tr w:rsidR="00030303" w:rsidRPr="00DB2B77" w14:paraId="0782E60E" w14:textId="77777777" w:rsidTr="00030303">
        <w:tc>
          <w:tcPr>
            <w:tcW w:w="3759" w:type="pct"/>
            <w:tcBorders>
              <w:top w:val="single" w:sz="4" w:space="0" w:color="auto"/>
              <w:left w:val="single" w:sz="4" w:space="0" w:color="auto"/>
              <w:bottom w:val="single" w:sz="4" w:space="0" w:color="auto"/>
              <w:right w:val="nil"/>
            </w:tcBorders>
            <w:vAlign w:val="top"/>
          </w:tcPr>
          <w:p w14:paraId="6CBF4705" w14:textId="77777777" w:rsidR="00030303" w:rsidRPr="00D96D9D" w:rsidRDefault="00030303" w:rsidP="00030303">
            <w:pPr>
              <w:spacing w:after="0" w:line="240" w:lineRule="auto"/>
              <w:rPr>
                <w:rFonts w:asciiTheme="minorHAnsi" w:eastAsia="Times New Roman" w:hAnsiTheme="minorHAnsi" w:cs="Times New Roman"/>
                <w:color w:val="222222"/>
                <w:w w:val="100"/>
                <w:kern w:val="0"/>
                <w:sz w:val="19"/>
                <w:szCs w:val="19"/>
              </w:rPr>
            </w:pPr>
            <w:r w:rsidRPr="00D96D9D">
              <w:rPr>
                <w:rFonts w:asciiTheme="minorHAnsi" w:hAnsiTheme="minorHAnsi"/>
                <w:color w:val="222222"/>
                <w:sz w:val="19"/>
                <w:szCs w:val="19"/>
              </w:rPr>
              <w:t>Royal Commission on the Navigation Bill</w:t>
            </w:r>
          </w:p>
        </w:tc>
        <w:tc>
          <w:tcPr>
            <w:tcW w:w="1241" w:type="pct"/>
            <w:tcBorders>
              <w:top w:val="single" w:sz="4" w:space="0" w:color="auto"/>
              <w:left w:val="nil"/>
              <w:bottom w:val="single" w:sz="4" w:space="0" w:color="auto"/>
              <w:right w:val="single" w:sz="4" w:space="0" w:color="auto"/>
            </w:tcBorders>
            <w:shd w:val="clear" w:color="auto" w:fill="D9D9D9"/>
            <w:vAlign w:val="top"/>
          </w:tcPr>
          <w:p w14:paraId="01146C14" w14:textId="77777777" w:rsidR="00030303" w:rsidRPr="00D96D9D" w:rsidRDefault="00030303" w:rsidP="00030303">
            <w:pPr>
              <w:rPr>
                <w:rFonts w:asciiTheme="minorHAnsi" w:hAnsiTheme="minorHAnsi"/>
                <w:color w:val="222222"/>
                <w:sz w:val="19"/>
                <w:szCs w:val="19"/>
              </w:rPr>
            </w:pPr>
            <w:r w:rsidRPr="00D96D9D">
              <w:rPr>
                <w:rFonts w:asciiTheme="minorHAnsi" w:hAnsiTheme="minorHAnsi"/>
                <w:color w:val="222222"/>
                <w:sz w:val="19"/>
                <w:szCs w:val="19"/>
              </w:rPr>
              <w:t>29 June 1904–14 June 1906</w:t>
            </w:r>
          </w:p>
        </w:tc>
      </w:tr>
      <w:tr w:rsidR="00030303" w:rsidRPr="00DB2B77" w14:paraId="77FF39F9" w14:textId="77777777" w:rsidTr="00030303">
        <w:tc>
          <w:tcPr>
            <w:tcW w:w="3759" w:type="pct"/>
            <w:tcBorders>
              <w:top w:val="single" w:sz="4" w:space="0" w:color="auto"/>
              <w:left w:val="single" w:sz="4" w:space="0" w:color="auto"/>
              <w:bottom w:val="single" w:sz="4" w:space="0" w:color="auto"/>
              <w:right w:val="nil"/>
            </w:tcBorders>
            <w:vAlign w:val="top"/>
          </w:tcPr>
          <w:p w14:paraId="43C04FB3" w14:textId="77777777" w:rsidR="00030303" w:rsidRPr="00D96D9D" w:rsidRDefault="00030303" w:rsidP="00030303">
            <w:pPr>
              <w:spacing w:after="0" w:line="240" w:lineRule="auto"/>
              <w:rPr>
                <w:rFonts w:asciiTheme="minorHAnsi" w:eastAsia="Times New Roman" w:hAnsiTheme="minorHAnsi" w:cs="Times New Roman"/>
                <w:color w:val="222222"/>
                <w:w w:val="100"/>
                <w:kern w:val="0"/>
                <w:sz w:val="19"/>
                <w:szCs w:val="19"/>
              </w:rPr>
            </w:pPr>
            <w:r w:rsidRPr="00D96D9D">
              <w:rPr>
                <w:rFonts w:asciiTheme="minorHAnsi" w:hAnsiTheme="minorHAnsi"/>
                <w:color w:val="222222"/>
                <w:sz w:val="19"/>
                <w:szCs w:val="19"/>
              </w:rPr>
              <w:t xml:space="preserve">Royal Commission on the affray at </w:t>
            </w:r>
            <w:proofErr w:type="spellStart"/>
            <w:r w:rsidRPr="00D96D9D">
              <w:rPr>
                <w:rFonts w:asciiTheme="minorHAnsi" w:hAnsiTheme="minorHAnsi"/>
                <w:color w:val="222222"/>
                <w:sz w:val="19"/>
                <w:szCs w:val="19"/>
              </w:rPr>
              <w:t>Goaribari</w:t>
            </w:r>
            <w:proofErr w:type="spellEnd"/>
            <w:r w:rsidRPr="00D96D9D">
              <w:rPr>
                <w:rFonts w:asciiTheme="minorHAnsi" w:hAnsiTheme="minorHAnsi"/>
                <w:color w:val="222222"/>
                <w:sz w:val="19"/>
                <w:szCs w:val="19"/>
              </w:rPr>
              <w:t xml:space="preserve"> Island, British New Guinea, on the 6th of March, 1904</w:t>
            </w:r>
          </w:p>
        </w:tc>
        <w:tc>
          <w:tcPr>
            <w:tcW w:w="1241" w:type="pct"/>
            <w:tcBorders>
              <w:top w:val="single" w:sz="4" w:space="0" w:color="auto"/>
              <w:left w:val="nil"/>
              <w:bottom w:val="single" w:sz="4" w:space="0" w:color="auto"/>
              <w:right w:val="single" w:sz="4" w:space="0" w:color="auto"/>
            </w:tcBorders>
            <w:shd w:val="clear" w:color="auto" w:fill="D9D9D9"/>
            <w:vAlign w:val="top"/>
          </w:tcPr>
          <w:p w14:paraId="43BE563D" w14:textId="77777777" w:rsidR="00030303" w:rsidRPr="00D96D9D" w:rsidRDefault="00030303" w:rsidP="00030303">
            <w:pPr>
              <w:rPr>
                <w:rFonts w:asciiTheme="minorHAnsi" w:hAnsiTheme="minorHAnsi"/>
                <w:color w:val="222222"/>
                <w:sz w:val="19"/>
                <w:szCs w:val="19"/>
              </w:rPr>
            </w:pPr>
            <w:r w:rsidRPr="00D96D9D">
              <w:rPr>
                <w:rFonts w:asciiTheme="minorHAnsi" w:hAnsiTheme="minorHAnsi"/>
                <w:color w:val="222222"/>
                <w:sz w:val="19"/>
                <w:szCs w:val="19"/>
              </w:rPr>
              <w:t>25 July 1904–13 September 1904</w:t>
            </w:r>
          </w:p>
        </w:tc>
      </w:tr>
      <w:tr w:rsidR="00030303" w:rsidRPr="00DB2B77" w14:paraId="2FFFD1FF" w14:textId="77777777" w:rsidTr="00030303">
        <w:tc>
          <w:tcPr>
            <w:tcW w:w="3759" w:type="pct"/>
            <w:tcBorders>
              <w:top w:val="single" w:sz="4" w:space="0" w:color="auto"/>
              <w:left w:val="single" w:sz="4" w:space="0" w:color="auto"/>
              <w:bottom w:val="single" w:sz="4" w:space="0" w:color="auto"/>
              <w:right w:val="nil"/>
            </w:tcBorders>
            <w:vAlign w:val="top"/>
          </w:tcPr>
          <w:p w14:paraId="1560012B" w14:textId="77777777" w:rsidR="00030303" w:rsidRPr="00D96D9D" w:rsidRDefault="00030303" w:rsidP="00030303">
            <w:pPr>
              <w:spacing w:after="0" w:line="240" w:lineRule="auto"/>
              <w:rPr>
                <w:rFonts w:asciiTheme="minorHAnsi" w:eastAsia="Times New Roman" w:hAnsiTheme="minorHAnsi" w:cs="Times New Roman"/>
                <w:color w:val="222222"/>
                <w:w w:val="100"/>
                <w:kern w:val="0"/>
                <w:sz w:val="19"/>
                <w:szCs w:val="19"/>
              </w:rPr>
            </w:pPr>
            <w:r w:rsidRPr="00D96D9D">
              <w:rPr>
                <w:rFonts w:asciiTheme="minorHAnsi" w:hAnsiTheme="minorHAnsi"/>
                <w:color w:val="222222"/>
                <w:sz w:val="19"/>
                <w:szCs w:val="19"/>
              </w:rPr>
              <w:t>Royal Commission on customs and excise tariffs</w:t>
            </w:r>
          </w:p>
        </w:tc>
        <w:tc>
          <w:tcPr>
            <w:tcW w:w="1241" w:type="pct"/>
            <w:tcBorders>
              <w:top w:val="single" w:sz="4" w:space="0" w:color="auto"/>
              <w:left w:val="nil"/>
              <w:bottom w:val="single" w:sz="4" w:space="0" w:color="auto"/>
              <w:right w:val="single" w:sz="4" w:space="0" w:color="auto"/>
            </w:tcBorders>
            <w:shd w:val="clear" w:color="auto" w:fill="D9D9D9"/>
            <w:vAlign w:val="top"/>
          </w:tcPr>
          <w:p w14:paraId="1F197DE7" w14:textId="77777777" w:rsidR="00030303" w:rsidRPr="00D96D9D" w:rsidRDefault="00030303" w:rsidP="00030303">
            <w:pPr>
              <w:rPr>
                <w:rFonts w:asciiTheme="minorHAnsi" w:hAnsiTheme="minorHAnsi"/>
                <w:color w:val="222222"/>
                <w:sz w:val="19"/>
                <w:szCs w:val="19"/>
              </w:rPr>
            </w:pPr>
            <w:r w:rsidRPr="00D96D9D">
              <w:rPr>
                <w:rFonts w:asciiTheme="minorHAnsi" w:hAnsiTheme="minorHAnsi"/>
                <w:color w:val="222222"/>
                <w:sz w:val="19"/>
                <w:szCs w:val="19"/>
              </w:rPr>
              <w:t>12 December 1904–9 August 1907</w:t>
            </w:r>
          </w:p>
        </w:tc>
      </w:tr>
      <w:tr w:rsidR="00030303" w:rsidRPr="00DB2B77" w14:paraId="7BF07771" w14:textId="77777777" w:rsidTr="00030303">
        <w:tc>
          <w:tcPr>
            <w:tcW w:w="3759" w:type="pct"/>
            <w:tcBorders>
              <w:top w:val="single" w:sz="4" w:space="0" w:color="auto"/>
              <w:left w:val="single" w:sz="4" w:space="0" w:color="auto"/>
              <w:bottom w:val="single" w:sz="4" w:space="0" w:color="auto"/>
              <w:right w:val="nil"/>
            </w:tcBorders>
            <w:vAlign w:val="top"/>
          </w:tcPr>
          <w:p w14:paraId="0427FDA1" w14:textId="77777777" w:rsidR="00030303" w:rsidRPr="00D96D9D" w:rsidRDefault="00030303" w:rsidP="00030303">
            <w:pPr>
              <w:spacing w:after="0" w:line="240" w:lineRule="auto"/>
              <w:rPr>
                <w:rFonts w:asciiTheme="minorHAnsi" w:eastAsia="Times New Roman" w:hAnsiTheme="minorHAnsi" w:cs="Times New Roman"/>
                <w:color w:val="222222"/>
                <w:w w:val="100"/>
                <w:kern w:val="0"/>
                <w:sz w:val="19"/>
                <w:szCs w:val="19"/>
              </w:rPr>
            </w:pPr>
            <w:r w:rsidRPr="00D96D9D">
              <w:rPr>
                <w:rFonts w:asciiTheme="minorHAnsi" w:hAnsiTheme="minorHAnsi"/>
                <w:color w:val="222222"/>
                <w:sz w:val="19"/>
                <w:szCs w:val="19"/>
              </w:rPr>
              <w:t>Royal Commission on old-age pensions</w:t>
            </w:r>
          </w:p>
        </w:tc>
        <w:tc>
          <w:tcPr>
            <w:tcW w:w="1241" w:type="pct"/>
            <w:tcBorders>
              <w:top w:val="single" w:sz="4" w:space="0" w:color="auto"/>
              <w:left w:val="nil"/>
              <w:bottom w:val="single" w:sz="4" w:space="0" w:color="auto"/>
              <w:right w:val="single" w:sz="4" w:space="0" w:color="auto"/>
            </w:tcBorders>
            <w:shd w:val="clear" w:color="auto" w:fill="D9D9D9"/>
            <w:vAlign w:val="top"/>
          </w:tcPr>
          <w:p w14:paraId="0D39C2BD" w14:textId="77777777" w:rsidR="00030303" w:rsidRPr="00D96D9D" w:rsidRDefault="00030303" w:rsidP="00030303">
            <w:pPr>
              <w:rPr>
                <w:rFonts w:asciiTheme="minorHAnsi" w:hAnsiTheme="minorHAnsi"/>
                <w:color w:val="222222"/>
                <w:sz w:val="19"/>
                <w:szCs w:val="19"/>
              </w:rPr>
            </w:pPr>
            <w:r w:rsidRPr="00D96D9D">
              <w:rPr>
                <w:rFonts w:asciiTheme="minorHAnsi" w:hAnsiTheme="minorHAnsi"/>
                <w:color w:val="222222"/>
                <w:sz w:val="19"/>
                <w:szCs w:val="19"/>
              </w:rPr>
              <w:t>27 February 1905–19 June 1906</w:t>
            </w:r>
          </w:p>
        </w:tc>
      </w:tr>
      <w:tr w:rsidR="00030303" w:rsidRPr="00DB2B77" w14:paraId="68457C81" w14:textId="77777777" w:rsidTr="00030303">
        <w:tc>
          <w:tcPr>
            <w:tcW w:w="3759" w:type="pct"/>
            <w:tcBorders>
              <w:top w:val="single" w:sz="4" w:space="0" w:color="auto"/>
              <w:left w:val="single" w:sz="4" w:space="0" w:color="auto"/>
              <w:bottom w:val="single" w:sz="4" w:space="0" w:color="auto"/>
              <w:right w:val="nil"/>
            </w:tcBorders>
            <w:vAlign w:val="top"/>
          </w:tcPr>
          <w:p w14:paraId="53231F63" w14:textId="77777777" w:rsidR="00030303" w:rsidRPr="00D96D9D" w:rsidRDefault="00030303" w:rsidP="00030303">
            <w:pPr>
              <w:spacing w:after="0" w:line="240" w:lineRule="auto"/>
              <w:rPr>
                <w:rFonts w:asciiTheme="minorHAnsi" w:eastAsia="Times New Roman" w:hAnsiTheme="minorHAnsi" w:cs="Times New Roman"/>
                <w:color w:val="222222"/>
                <w:w w:val="100"/>
                <w:kern w:val="0"/>
                <w:sz w:val="19"/>
                <w:szCs w:val="19"/>
              </w:rPr>
            </w:pPr>
            <w:r w:rsidRPr="00D96D9D">
              <w:rPr>
                <w:rFonts w:asciiTheme="minorHAnsi" w:hAnsiTheme="minorHAnsi"/>
                <w:color w:val="222222"/>
                <w:sz w:val="19"/>
                <w:szCs w:val="19"/>
              </w:rPr>
              <w:t>Royal Commission on the tobacco monopoly</w:t>
            </w:r>
          </w:p>
        </w:tc>
        <w:tc>
          <w:tcPr>
            <w:tcW w:w="1241" w:type="pct"/>
            <w:tcBorders>
              <w:top w:val="single" w:sz="4" w:space="0" w:color="auto"/>
              <w:left w:val="nil"/>
              <w:bottom w:val="single" w:sz="4" w:space="0" w:color="auto"/>
              <w:right w:val="single" w:sz="4" w:space="0" w:color="auto"/>
            </w:tcBorders>
            <w:shd w:val="clear" w:color="auto" w:fill="D9D9D9"/>
            <w:vAlign w:val="top"/>
          </w:tcPr>
          <w:p w14:paraId="05780431" w14:textId="77777777" w:rsidR="00030303" w:rsidRPr="00D96D9D" w:rsidRDefault="00030303" w:rsidP="00030303">
            <w:pPr>
              <w:rPr>
                <w:rFonts w:asciiTheme="minorHAnsi" w:hAnsiTheme="minorHAnsi"/>
                <w:color w:val="222222"/>
                <w:sz w:val="19"/>
                <w:szCs w:val="19"/>
              </w:rPr>
            </w:pPr>
            <w:r w:rsidRPr="00D96D9D">
              <w:rPr>
                <w:rFonts w:asciiTheme="minorHAnsi" w:hAnsiTheme="minorHAnsi"/>
                <w:color w:val="222222"/>
                <w:sz w:val="19"/>
                <w:szCs w:val="19"/>
              </w:rPr>
              <w:t>30 December 1905–14 June 1906</w:t>
            </w:r>
          </w:p>
        </w:tc>
      </w:tr>
      <w:tr w:rsidR="00030303" w:rsidRPr="00DB2B77" w14:paraId="6C75987B" w14:textId="77777777" w:rsidTr="00030303">
        <w:tc>
          <w:tcPr>
            <w:tcW w:w="3759" w:type="pct"/>
            <w:tcBorders>
              <w:top w:val="single" w:sz="4" w:space="0" w:color="auto"/>
              <w:left w:val="single" w:sz="4" w:space="0" w:color="auto"/>
              <w:bottom w:val="single" w:sz="4" w:space="0" w:color="auto"/>
              <w:right w:val="nil"/>
            </w:tcBorders>
            <w:vAlign w:val="top"/>
          </w:tcPr>
          <w:p w14:paraId="4CC63D40" w14:textId="77777777" w:rsidR="00030303" w:rsidRPr="00D96D9D" w:rsidRDefault="00030303" w:rsidP="00030303">
            <w:pPr>
              <w:spacing w:after="0" w:line="240" w:lineRule="auto"/>
              <w:rPr>
                <w:rFonts w:asciiTheme="minorHAnsi" w:eastAsia="Times New Roman" w:hAnsiTheme="minorHAnsi" w:cs="Times New Roman"/>
                <w:color w:val="222222"/>
                <w:w w:val="100"/>
                <w:kern w:val="0"/>
                <w:sz w:val="19"/>
                <w:szCs w:val="19"/>
              </w:rPr>
            </w:pPr>
            <w:r w:rsidRPr="00D96D9D">
              <w:rPr>
                <w:rFonts w:asciiTheme="minorHAnsi" w:hAnsiTheme="minorHAnsi"/>
                <w:color w:val="222222"/>
                <w:sz w:val="19"/>
                <w:szCs w:val="19"/>
              </w:rPr>
              <w:t>Royal Commission on ocean shipping service</w:t>
            </w:r>
          </w:p>
        </w:tc>
        <w:tc>
          <w:tcPr>
            <w:tcW w:w="1241" w:type="pct"/>
            <w:tcBorders>
              <w:top w:val="single" w:sz="4" w:space="0" w:color="auto"/>
              <w:left w:val="nil"/>
              <w:bottom w:val="single" w:sz="4" w:space="0" w:color="auto"/>
              <w:right w:val="single" w:sz="4" w:space="0" w:color="auto"/>
            </w:tcBorders>
            <w:shd w:val="clear" w:color="auto" w:fill="D9D9D9"/>
            <w:vAlign w:val="top"/>
          </w:tcPr>
          <w:p w14:paraId="6C2898AA" w14:textId="77777777" w:rsidR="00030303" w:rsidRPr="00D96D9D" w:rsidRDefault="00030303" w:rsidP="00030303">
            <w:pPr>
              <w:rPr>
                <w:rFonts w:asciiTheme="minorHAnsi" w:hAnsiTheme="minorHAnsi"/>
                <w:color w:val="222222"/>
                <w:sz w:val="19"/>
                <w:szCs w:val="19"/>
              </w:rPr>
            </w:pPr>
            <w:r w:rsidRPr="00D96D9D">
              <w:rPr>
                <w:rFonts w:asciiTheme="minorHAnsi" w:hAnsiTheme="minorHAnsi"/>
                <w:color w:val="222222"/>
                <w:sz w:val="19"/>
                <w:szCs w:val="19"/>
              </w:rPr>
              <w:t>11 January–29 June 1906</w:t>
            </w:r>
          </w:p>
        </w:tc>
      </w:tr>
      <w:tr w:rsidR="00030303" w:rsidRPr="00DB2B77" w14:paraId="2A32AA4D" w14:textId="77777777" w:rsidTr="00030303">
        <w:tc>
          <w:tcPr>
            <w:tcW w:w="3759" w:type="pct"/>
            <w:tcBorders>
              <w:top w:val="single" w:sz="4" w:space="0" w:color="auto"/>
              <w:left w:val="single" w:sz="4" w:space="0" w:color="auto"/>
              <w:bottom w:val="single" w:sz="4" w:space="0" w:color="auto"/>
              <w:right w:val="nil"/>
            </w:tcBorders>
            <w:vAlign w:val="top"/>
          </w:tcPr>
          <w:p w14:paraId="7667A815" w14:textId="77777777" w:rsidR="00030303" w:rsidRPr="00D96D9D" w:rsidRDefault="00030303" w:rsidP="00030303">
            <w:pPr>
              <w:spacing w:after="0" w:line="240" w:lineRule="auto"/>
              <w:rPr>
                <w:rFonts w:asciiTheme="minorHAnsi" w:eastAsia="Times New Roman" w:hAnsiTheme="minorHAnsi" w:cs="Times New Roman"/>
                <w:color w:val="222222"/>
                <w:w w:val="100"/>
                <w:kern w:val="0"/>
                <w:sz w:val="19"/>
                <w:szCs w:val="19"/>
              </w:rPr>
            </w:pPr>
            <w:r w:rsidRPr="00D96D9D">
              <w:rPr>
                <w:rFonts w:asciiTheme="minorHAnsi" w:hAnsiTheme="minorHAnsi"/>
                <w:color w:val="222222"/>
                <w:sz w:val="19"/>
                <w:szCs w:val="19"/>
              </w:rPr>
              <w:t>British New Guinea—Royal Commission of inquiry into the present conditions, including the method of government, of the Territory of Papua, and the best means for their improvement</w:t>
            </w:r>
          </w:p>
        </w:tc>
        <w:tc>
          <w:tcPr>
            <w:tcW w:w="1241" w:type="pct"/>
            <w:tcBorders>
              <w:top w:val="single" w:sz="4" w:space="0" w:color="auto"/>
              <w:left w:val="nil"/>
              <w:bottom w:val="single" w:sz="4" w:space="0" w:color="auto"/>
              <w:right w:val="single" w:sz="4" w:space="0" w:color="auto"/>
            </w:tcBorders>
            <w:shd w:val="clear" w:color="auto" w:fill="D9D9D9"/>
            <w:vAlign w:val="top"/>
          </w:tcPr>
          <w:p w14:paraId="01A82226" w14:textId="77777777" w:rsidR="00030303" w:rsidRPr="00D96D9D" w:rsidRDefault="00030303" w:rsidP="00030303">
            <w:pPr>
              <w:rPr>
                <w:rFonts w:asciiTheme="minorHAnsi" w:hAnsiTheme="minorHAnsi"/>
                <w:color w:val="222222"/>
                <w:sz w:val="19"/>
                <w:szCs w:val="19"/>
              </w:rPr>
            </w:pPr>
            <w:r w:rsidRPr="00D96D9D">
              <w:rPr>
                <w:rFonts w:asciiTheme="minorHAnsi" w:hAnsiTheme="minorHAnsi"/>
                <w:color w:val="222222"/>
                <w:sz w:val="19"/>
                <w:szCs w:val="19"/>
              </w:rPr>
              <w:t>27 August 1906–20 February 1907</w:t>
            </w:r>
          </w:p>
        </w:tc>
      </w:tr>
      <w:tr w:rsidR="00030303" w:rsidRPr="00DB2B77" w14:paraId="3D34BB7E" w14:textId="77777777" w:rsidTr="00030303">
        <w:tc>
          <w:tcPr>
            <w:tcW w:w="3759" w:type="pct"/>
            <w:tcBorders>
              <w:top w:val="single" w:sz="4" w:space="0" w:color="auto"/>
              <w:left w:val="single" w:sz="4" w:space="0" w:color="auto"/>
              <w:bottom w:val="single" w:sz="4" w:space="0" w:color="auto"/>
              <w:right w:val="nil"/>
            </w:tcBorders>
            <w:vAlign w:val="top"/>
          </w:tcPr>
          <w:p w14:paraId="74BC230A" w14:textId="77777777" w:rsidR="00030303" w:rsidRPr="00D96D9D" w:rsidRDefault="00030303" w:rsidP="00030303">
            <w:pPr>
              <w:spacing w:after="0" w:line="240" w:lineRule="auto"/>
              <w:rPr>
                <w:rFonts w:asciiTheme="minorHAnsi" w:eastAsia="Times New Roman" w:hAnsiTheme="minorHAnsi" w:cs="Times New Roman"/>
                <w:color w:val="222222"/>
                <w:w w:val="100"/>
                <w:kern w:val="0"/>
                <w:sz w:val="19"/>
                <w:szCs w:val="19"/>
              </w:rPr>
            </w:pPr>
            <w:r w:rsidRPr="00D96D9D">
              <w:rPr>
                <w:rFonts w:asciiTheme="minorHAnsi" w:hAnsiTheme="minorHAnsi"/>
                <w:color w:val="222222"/>
                <w:sz w:val="19"/>
                <w:szCs w:val="19"/>
              </w:rPr>
              <w:t>Royal Commission on secret drugs, cures, and foods</w:t>
            </w:r>
          </w:p>
        </w:tc>
        <w:tc>
          <w:tcPr>
            <w:tcW w:w="1241" w:type="pct"/>
            <w:tcBorders>
              <w:top w:val="single" w:sz="4" w:space="0" w:color="auto"/>
              <w:left w:val="nil"/>
              <w:bottom w:val="single" w:sz="4" w:space="0" w:color="auto"/>
              <w:right w:val="single" w:sz="4" w:space="0" w:color="auto"/>
            </w:tcBorders>
            <w:shd w:val="clear" w:color="auto" w:fill="D9D9D9"/>
            <w:vAlign w:val="top"/>
          </w:tcPr>
          <w:p w14:paraId="70991E85" w14:textId="77777777" w:rsidR="00030303" w:rsidRPr="00D96D9D" w:rsidRDefault="00030303" w:rsidP="00030303">
            <w:pPr>
              <w:rPr>
                <w:rFonts w:asciiTheme="minorHAnsi" w:hAnsiTheme="minorHAnsi"/>
                <w:color w:val="222222"/>
                <w:sz w:val="19"/>
                <w:szCs w:val="19"/>
              </w:rPr>
            </w:pPr>
            <w:r w:rsidRPr="00D96D9D">
              <w:rPr>
                <w:rFonts w:asciiTheme="minorHAnsi" w:hAnsiTheme="minorHAnsi"/>
                <w:color w:val="222222"/>
                <w:sz w:val="19"/>
                <w:szCs w:val="19"/>
              </w:rPr>
              <w:t>11 December 1906–8 August 1907</w:t>
            </w:r>
          </w:p>
        </w:tc>
      </w:tr>
      <w:tr w:rsidR="00030303" w:rsidRPr="00DB2B77" w14:paraId="5492105D" w14:textId="77777777" w:rsidTr="00030303">
        <w:tc>
          <w:tcPr>
            <w:tcW w:w="3759" w:type="pct"/>
            <w:tcBorders>
              <w:top w:val="single" w:sz="4" w:space="0" w:color="auto"/>
              <w:left w:val="single" w:sz="4" w:space="0" w:color="auto"/>
              <w:bottom w:val="single" w:sz="4" w:space="0" w:color="auto"/>
              <w:right w:val="nil"/>
            </w:tcBorders>
            <w:vAlign w:val="top"/>
          </w:tcPr>
          <w:p w14:paraId="2B09AF42" w14:textId="77777777" w:rsidR="00030303" w:rsidRPr="00D96D9D" w:rsidRDefault="00030303" w:rsidP="00030303">
            <w:pPr>
              <w:spacing w:after="0" w:line="240" w:lineRule="auto"/>
              <w:rPr>
                <w:rFonts w:asciiTheme="minorHAnsi" w:eastAsia="Times New Roman" w:hAnsiTheme="minorHAnsi" w:cs="Times New Roman"/>
                <w:color w:val="222222"/>
                <w:w w:val="100"/>
                <w:kern w:val="0"/>
                <w:sz w:val="19"/>
                <w:szCs w:val="19"/>
              </w:rPr>
            </w:pPr>
            <w:r w:rsidRPr="00D96D9D">
              <w:rPr>
                <w:rFonts w:asciiTheme="minorHAnsi" w:hAnsiTheme="minorHAnsi"/>
                <w:color w:val="222222"/>
                <w:sz w:val="19"/>
                <w:szCs w:val="19"/>
              </w:rPr>
              <w:t>Royal Commission on postal services</w:t>
            </w:r>
          </w:p>
        </w:tc>
        <w:tc>
          <w:tcPr>
            <w:tcW w:w="1241" w:type="pct"/>
            <w:tcBorders>
              <w:top w:val="single" w:sz="4" w:space="0" w:color="auto"/>
              <w:left w:val="nil"/>
              <w:bottom w:val="single" w:sz="4" w:space="0" w:color="auto"/>
              <w:right w:val="single" w:sz="4" w:space="0" w:color="auto"/>
            </w:tcBorders>
            <w:shd w:val="clear" w:color="auto" w:fill="D9D9D9"/>
            <w:vAlign w:val="top"/>
          </w:tcPr>
          <w:p w14:paraId="2D9552B1" w14:textId="77777777" w:rsidR="00030303" w:rsidRPr="00D96D9D" w:rsidRDefault="00030303" w:rsidP="00030303">
            <w:pPr>
              <w:rPr>
                <w:rFonts w:asciiTheme="minorHAnsi" w:hAnsiTheme="minorHAnsi"/>
                <w:color w:val="222222"/>
                <w:sz w:val="19"/>
                <w:szCs w:val="19"/>
              </w:rPr>
            </w:pPr>
            <w:r w:rsidRPr="00D96D9D">
              <w:rPr>
                <w:rFonts w:asciiTheme="minorHAnsi" w:hAnsiTheme="minorHAnsi"/>
                <w:color w:val="222222"/>
                <w:sz w:val="19"/>
                <w:szCs w:val="19"/>
              </w:rPr>
              <w:t>22 June 1908–5 October 1910</w:t>
            </w:r>
          </w:p>
        </w:tc>
      </w:tr>
      <w:tr w:rsidR="00030303" w:rsidRPr="00DB2B77" w14:paraId="2B14688E" w14:textId="77777777" w:rsidTr="00030303">
        <w:tc>
          <w:tcPr>
            <w:tcW w:w="3759" w:type="pct"/>
            <w:tcBorders>
              <w:top w:val="single" w:sz="4" w:space="0" w:color="auto"/>
              <w:left w:val="single" w:sz="4" w:space="0" w:color="auto"/>
              <w:bottom w:val="single" w:sz="4" w:space="0" w:color="auto"/>
              <w:right w:val="nil"/>
            </w:tcBorders>
            <w:vAlign w:val="top"/>
          </w:tcPr>
          <w:p w14:paraId="028AA53E" w14:textId="77777777" w:rsidR="00030303" w:rsidRPr="00D96D9D" w:rsidRDefault="00030303" w:rsidP="00030303">
            <w:pPr>
              <w:spacing w:after="0" w:line="240" w:lineRule="auto"/>
              <w:rPr>
                <w:rFonts w:asciiTheme="minorHAnsi" w:eastAsia="Times New Roman" w:hAnsiTheme="minorHAnsi" w:cs="Times New Roman"/>
                <w:color w:val="222222"/>
                <w:w w:val="100"/>
                <w:kern w:val="0"/>
                <w:sz w:val="19"/>
                <w:szCs w:val="19"/>
              </w:rPr>
            </w:pPr>
            <w:r w:rsidRPr="00D96D9D">
              <w:rPr>
                <w:rFonts w:asciiTheme="minorHAnsi" w:hAnsiTheme="minorHAnsi"/>
                <w:color w:val="222222"/>
                <w:sz w:val="19"/>
                <w:szCs w:val="19"/>
              </w:rPr>
              <w:lastRenderedPageBreak/>
              <w:t>Royal Commission on insurance</w:t>
            </w:r>
          </w:p>
        </w:tc>
        <w:tc>
          <w:tcPr>
            <w:tcW w:w="1241" w:type="pct"/>
            <w:tcBorders>
              <w:top w:val="single" w:sz="4" w:space="0" w:color="auto"/>
              <w:left w:val="nil"/>
              <w:bottom w:val="single" w:sz="4" w:space="0" w:color="auto"/>
              <w:right w:val="single" w:sz="4" w:space="0" w:color="auto"/>
            </w:tcBorders>
            <w:shd w:val="clear" w:color="auto" w:fill="D9D9D9"/>
            <w:vAlign w:val="top"/>
          </w:tcPr>
          <w:p w14:paraId="1BF1ECC1" w14:textId="77777777" w:rsidR="00030303" w:rsidRPr="00D96D9D" w:rsidRDefault="00030303" w:rsidP="00030303">
            <w:pPr>
              <w:rPr>
                <w:rFonts w:asciiTheme="minorHAnsi" w:hAnsiTheme="minorHAnsi"/>
                <w:color w:val="222222"/>
                <w:sz w:val="19"/>
                <w:szCs w:val="19"/>
              </w:rPr>
            </w:pPr>
            <w:r w:rsidRPr="00D96D9D">
              <w:rPr>
                <w:rFonts w:asciiTheme="minorHAnsi" w:hAnsiTheme="minorHAnsi"/>
                <w:color w:val="222222"/>
                <w:sz w:val="19"/>
                <w:szCs w:val="19"/>
              </w:rPr>
              <w:t>15 December 1908–1 July 1910</w:t>
            </w:r>
          </w:p>
        </w:tc>
      </w:tr>
      <w:tr w:rsidR="00030303" w:rsidRPr="00DB2B77" w14:paraId="1F992D10" w14:textId="77777777" w:rsidTr="00030303">
        <w:tc>
          <w:tcPr>
            <w:tcW w:w="3759" w:type="pct"/>
            <w:tcBorders>
              <w:top w:val="single" w:sz="4" w:space="0" w:color="auto"/>
              <w:left w:val="single" w:sz="4" w:space="0" w:color="auto"/>
              <w:bottom w:val="single" w:sz="4" w:space="0" w:color="auto"/>
              <w:right w:val="nil"/>
            </w:tcBorders>
            <w:vAlign w:val="top"/>
          </w:tcPr>
          <w:p w14:paraId="48FBE228" w14:textId="77777777" w:rsidR="00030303" w:rsidRPr="00D96D9D" w:rsidRDefault="00030303" w:rsidP="00030303">
            <w:pPr>
              <w:spacing w:after="0" w:line="240" w:lineRule="auto"/>
              <w:rPr>
                <w:rFonts w:asciiTheme="minorHAnsi" w:eastAsia="Times New Roman" w:hAnsiTheme="minorHAnsi" w:cs="Times New Roman"/>
                <w:color w:val="222222"/>
                <w:w w:val="100"/>
                <w:kern w:val="0"/>
                <w:sz w:val="19"/>
                <w:szCs w:val="19"/>
              </w:rPr>
            </w:pPr>
            <w:r w:rsidRPr="00D96D9D">
              <w:rPr>
                <w:rFonts w:asciiTheme="minorHAnsi" w:hAnsiTheme="minorHAnsi"/>
                <w:color w:val="222222"/>
                <w:sz w:val="19"/>
                <w:szCs w:val="19"/>
              </w:rPr>
              <w:t>Royal Commission on stripper harvesters and drills</w:t>
            </w:r>
          </w:p>
        </w:tc>
        <w:tc>
          <w:tcPr>
            <w:tcW w:w="1241" w:type="pct"/>
            <w:tcBorders>
              <w:top w:val="single" w:sz="4" w:space="0" w:color="auto"/>
              <w:left w:val="nil"/>
              <w:bottom w:val="single" w:sz="4" w:space="0" w:color="auto"/>
              <w:right w:val="single" w:sz="4" w:space="0" w:color="auto"/>
            </w:tcBorders>
            <w:shd w:val="clear" w:color="auto" w:fill="D9D9D9"/>
            <w:vAlign w:val="top"/>
          </w:tcPr>
          <w:p w14:paraId="021FF8D1" w14:textId="77777777" w:rsidR="00030303" w:rsidRPr="00D96D9D" w:rsidRDefault="00030303" w:rsidP="00030303">
            <w:pPr>
              <w:rPr>
                <w:rFonts w:asciiTheme="minorHAnsi" w:hAnsiTheme="minorHAnsi"/>
                <w:color w:val="222222"/>
                <w:sz w:val="19"/>
                <w:szCs w:val="19"/>
              </w:rPr>
            </w:pPr>
            <w:r w:rsidRPr="00D96D9D">
              <w:rPr>
                <w:rFonts w:asciiTheme="minorHAnsi" w:hAnsiTheme="minorHAnsi"/>
                <w:color w:val="222222"/>
                <w:sz w:val="19"/>
                <w:szCs w:val="19"/>
              </w:rPr>
              <w:t>15 December 1908–30 July 1909</w:t>
            </w:r>
          </w:p>
        </w:tc>
      </w:tr>
      <w:tr w:rsidR="00030303" w:rsidRPr="00DB2B77" w14:paraId="57C83949" w14:textId="77777777" w:rsidTr="00030303">
        <w:tc>
          <w:tcPr>
            <w:tcW w:w="3759" w:type="pct"/>
            <w:tcBorders>
              <w:top w:val="single" w:sz="4" w:space="0" w:color="auto"/>
              <w:left w:val="single" w:sz="4" w:space="0" w:color="auto"/>
              <w:bottom w:val="single" w:sz="4" w:space="0" w:color="auto"/>
              <w:right w:val="nil"/>
            </w:tcBorders>
            <w:vAlign w:val="top"/>
          </w:tcPr>
          <w:p w14:paraId="52628F10" w14:textId="77777777" w:rsidR="00030303" w:rsidRPr="00D96D9D" w:rsidRDefault="00030303" w:rsidP="00030303">
            <w:pPr>
              <w:spacing w:after="0" w:line="240" w:lineRule="auto"/>
              <w:rPr>
                <w:rFonts w:asciiTheme="minorHAnsi" w:eastAsia="Times New Roman" w:hAnsiTheme="minorHAnsi" w:cs="Times New Roman"/>
                <w:color w:val="222222"/>
                <w:w w:val="100"/>
                <w:kern w:val="0"/>
                <w:sz w:val="19"/>
                <w:szCs w:val="19"/>
              </w:rPr>
            </w:pPr>
            <w:r w:rsidRPr="00D96D9D">
              <w:rPr>
                <w:rFonts w:asciiTheme="minorHAnsi" w:hAnsiTheme="minorHAnsi"/>
                <w:color w:val="222222"/>
                <w:sz w:val="19"/>
                <w:szCs w:val="19"/>
              </w:rPr>
              <w:t>Royal Commission on Tasmanian customs leakage</w:t>
            </w:r>
          </w:p>
        </w:tc>
        <w:tc>
          <w:tcPr>
            <w:tcW w:w="1241" w:type="pct"/>
            <w:tcBorders>
              <w:top w:val="single" w:sz="4" w:space="0" w:color="auto"/>
              <w:left w:val="nil"/>
              <w:bottom w:val="single" w:sz="4" w:space="0" w:color="auto"/>
              <w:right w:val="single" w:sz="4" w:space="0" w:color="auto"/>
            </w:tcBorders>
            <w:shd w:val="clear" w:color="auto" w:fill="D9D9D9"/>
            <w:vAlign w:val="top"/>
          </w:tcPr>
          <w:p w14:paraId="2A1737E6" w14:textId="77777777" w:rsidR="00030303" w:rsidRPr="00D96D9D" w:rsidRDefault="00030303" w:rsidP="00030303">
            <w:pPr>
              <w:rPr>
                <w:rFonts w:asciiTheme="minorHAnsi" w:hAnsiTheme="minorHAnsi"/>
                <w:color w:val="222222"/>
                <w:sz w:val="19"/>
                <w:szCs w:val="19"/>
              </w:rPr>
            </w:pPr>
            <w:r w:rsidRPr="00D96D9D">
              <w:rPr>
                <w:rFonts w:asciiTheme="minorHAnsi" w:hAnsiTheme="minorHAnsi"/>
                <w:color w:val="222222"/>
                <w:sz w:val="19"/>
                <w:szCs w:val="19"/>
              </w:rPr>
              <w:t>30 December 1910–3 October 1911</w:t>
            </w:r>
          </w:p>
        </w:tc>
      </w:tr>
      <w:tr w:rsidR="00030303" w:rsidRPr="00DB2B77" w14:paraId="7300BDDD" w14:textId="77777777" w:rsidTr="00030303">
        <w:tc>
          <w:tcPr>
            <w:tcW w:w="3759" w:type="pct"/>
            <w:tcBorders>
              <w:top w:val="single" w:sz="4" w:space="0" w:color="auto"/>
              <w:left w:val="single" w:sz="4" w:space="0" w:color="auto"/>
              <w:bottom w:val="single" w:sz="4" w:space="0" w:color="auto"/>
              <w:right w:val="nil"/>
            </w:tcBorders>
            <w:vAlign w:val="top"/>
          </w:tcPr>
          <w:p w14:paraId="374A9158" w14:textId="77777777" w:rsidR="00030303" w:rsidRPr="00D96D9D" w:rsidRDefault="00030303" w:rsidP="00030303">
            <w:pPr>
              <w:spacing w:after="0" w:line="240" w:lineRule="auto"/>
              <w:rPr>
                <w:rFonts w:asciiTheme="minorHAnsi" w:eastAsia="Times New Roman" w:hAnsiTheme="minorHAnsi" w:cs="Times New Roman"/>
                <w:color w:val="222222"/>
                <w:w w:val="100"/>
                <w:kern w:val="0"/>
                <w:sz w:val="19"/>
                <w:szCs w:val="19"/>
              </w:rPr>
            </w:pPr>
            <w:r w:rsidRPr="00D96D9D">
              <w:rPr>
                <w:rFonts w:asciiTheme="minorHAnsi" w:hAnsiTheme="minorHAnsi"/>
                <w:color w:val="222222"/>
                <w:sz w:val="19"/>
                <w:szCs w:val="19"/>
              </w:rPr>
              <w:t>Royal Commission on the sugar industry</w:t>
            </w:r>
          </w:p>
        </w:tc>
        <w:tc>
          <w:tcPr>
            <w:tcW w:w="1241" w:type="pct"/>
            <w:tcBorders>
              <w:top w:val="single" w:sz="4" w:space="0" w:color="auto"/>
              <w:left w:val="nil"/>
              <w:bottom w:val="single" w:sz="4" w:space="0" w:color="auto"/>
              <w:right w:val="single" w:sz="4" w:space="0" w:color="auto"/>
            </w:tcBorders>
            <w:shd w:val="clear" w:color="auto" w:fill="D9D9D9"/>
            <w:vAlign w:val="top"/>
          </w:tcPr>
          <w:p w14:paraId="42B69F0E" w14:textId="77777777" w:rsidR="00030303" w:rsidRPr="00D96D9D" w:rsidRDefault="00030303" w:rsidP="00030303">
            <w:pPr>
              <w:rPr>
                <w:rFonts w:asciiTheme="minorHAnsi" w:hAnsiTheme="minorHAnsi"/>
                <w:color w:val="222222"/>
                <w:sz w:val="19"/>
                <w:szCs w:val="19"/>
              </w:rPr>
            </w:pPr>
            <w:r w:rsidRPr="00D96D9D">
              <w:rPr>
                <w:rFonts w:asciiTheme="minorHAnsi" w:hAnsiTheme="minorHAnsi"/>
                <w:color w:val="222222"/>
                <w:sz w:val="19"/>
                <w:szCs w:val="19"/>
              </w:rPr>
              <w:t>24 October 1911–4 December 1912</w:t>
            </w:r>
          </w:p>
        </w:tc>
      </w:tr>
      <w:tr w:rsidR="00030303" w:rsidRPr="00DB2B77" w14:paraId="0F4226CD" w14:textId="77777777" w:rsidTr="00030303">
        <w:tc>
          <w:tcPr>
            <w:tcW w:w="3759" w:type="pct"/>
            <w:tcBorders>
              <w:top w:val="single" w:sz="4" w:space="0" w:color="auto"/>
              <w:left w:val="single" w:sz="4" w:space="0" w:color="auto"/>
              <w:bottom w:val="single" w:sz="4" w:space="0" w:color="auto"/>
              <w:right w:val="nil"/>
            </w:tcBorders>
            <w:vAlign w:val="top"/>
          </w:tcPr>
          <w:p w14:paraId="7E80C90F" w14:textId="77777777" w:rsidR="00030303" w:rsidRPr="00D96D9D" w:rsidRDefault="00030303" w:rsidP="00030303">
            <w:pPr>
              <w:spacing w:after="0" w:line="240" w:lineRule="auto"/>
              <w:rPr>
                <w:rFonts w:asciiTheme="minorHAnsi" w:eastAsia="Times New Roman" w:hAnsiTheme="minorHAnsi" w:cs="Times New Roman"/>
                <w:color w:val="222222"/>
                <w:w w:val="100"/>
                <w:kern w:val="0"/>
                <w:sz w:val="19"/>
                <w:szCs w:val="19"/>
              </w:rPr>
            </w:pPr>
            <w:r w:rsidRPr="00D96D9D">
              <w:rPr>
                <w:rFonts w:asciiTheme="minorHAnsi" w:hAnsiTheme="minorHAnsi"/>
                <w:color w:val="222222"/>
                <w:sz w:val="19"/>
                <w:szCs w:val="19"/>
              </w:rPr>
              <w:t>Royal Commission on the pearl-shelling industry</w:t>
            </w:r>
          </w:p>
        </w:tc>
        <w:tc>
          <w:tcPr>
            <w:tcW w:w="1241" w:type="pct"/>
            <w:tcBorders>
              <w:top w:val="single" w:sz="4" w:space="0" w:color="auto"/>
              <w:left w:val="nil"/>
              <w:bottom w:val="single" w:sz="4" w:space="0" w:color="auto"/>
              <w:right w:val="single" w:sz="4" w:space="0" w:color="auto"/>
            </w:tcBorders>
            <w:shd w:val="clear" w:color="auto" w:fill="D9D9D9"/>
            <w:vAlign w:val="top"/>
          </w:tcPr>
          <w:p w14:paraId="2DAE355E" w14:textId="77777777" w:rsidR="00030303" w:rsidRPr="00D96D9D" w:rsidRDefault="00030303" w:rsidP="00030303">
            <w:pPr>
              <w:rPr>
                <w:rFonts w:asciiTheme="minorHAnsi" w:hAnsiTheme="minorHAnsi"/>
                <w:color w:val="222222"/>
                <w:sz w:val="19"/>
                <w:szCs w:val="19"/>
              </w:rPr>
            </w:pPr>
            <w:r w:rsidRPr="00D96D9D">
              <w:rPr>
                <w:rFonts w:asciiTheme="minorHAnsi" w:hAnsiTheme="minorHAnsi"/>
                <w:color w:val="222222"/>
                <w:sz w:val="19"/>
                <w:szCs w:val="19"/>
              </w:rPr>
              <w:t>3 April 1912–30 August 1916</w:t>
            </w:r>
          </w:p>
        </w:tc>
      </w:tr>
      <w:tr w:rsidR="00030303" w:rsidRPr="00DB2B77" w14:paraId="54BA3D0A" w14:textId="77777777" w:rsidTr="00030303">
        <w:tc>
          <w:tcPr>
            <w:tcW w:w="3759" w:type="pct"/>
            <w:tcBorders>
              <w:top w:val="single" w:sz="4" w:space="0" w:color="auto"/>
              <w:left w:val="single" w:sz="4" w:space="0" w:color="auto"/>
              <w:bottom w:val="single" w:sz="4" w:space="0" w:color="auto"/>
              <w:right w:val="nil"/>
            </w:tcBorders>
            <w:vAlign w:val="top"/>
          </w:tcPr>
          <w:p w14:paraId="77D73D2B" w14:textId="77777777" w:rsidR="00030303" w:rsidRPr="00D96D9D" w:rsidRDefault="00030303" w:rsidP="00030303">
            <w:pPr>
              <w:spacing w:after="0" w:line="240" w:lineRule="auto"/>
              <w:rPr>
                <w:rFonts w:asciiTheme="minorHAnsi" w:eastAsia="Times New Roman" w:hAnsiTheme="minorHAnsi" w:cs="Times New Roman"/>
                <w:color w:val="222222"/>
                <w:w w:val="100"/>
                <w:kern w:val="0"/>
                <w:sz w:val="19"/>
                <w:szCs w:val="19"/>
              </w:rPr>
            </w:pPr>
            <w:r w:rsidRPr="00D96D9D">
              <w:rPr>
                <w:rFonts w:asciiTheme="minorHAnsi" w:hAnsiTheme="minorHAnsi"/>
                <w:color w:val="222222"/>
                <w:sz w:val="19"/>
                <w:szCs w:val="19"/>
              </w:rPr>
              <w:t>Royal Commission on the fruit industry</w:t>
            </w:r>
          </w:p>
        </w:tc>
        <w:tc>
          <w:tcPr>
            <w:tcW w:w="1241" w:type="pct"/>
            <w:tcBorders>
              <w:top w:val="single" w:sz="4" w:space="0" w:color="auto"/>
              <w:left w:val="nil"/>
              <w:bottom w:val="single" w:sz="4" w:space="0" w:color="auto"/>
              <w:right w:val="single" w:sz="4" w:space="0" w:color="auto"/>
            </w:tcBorders>
            <w:shd w:val="clear" w:color="auto" w:fill="D9D9D9"/>
            <w:vAlign w:val="top"/>
          </w:tcPr>
          <w:p w14:paraId="17528B64" w14:textId="77777777" w:rsidR="00030303" w:rsidRPr="00D96D9D" w:rsidRDefault="00030303" w:rsidP="00030303">
            <w:pPr>
              <w:rPr>
                <w:rFonts w:asciiTheme="minorHAnsi" w:hAnsiTheme="minorHAnsi"/>
                <w:color w:val="222222"/>
                <w:sz w:val="19"/>
                <w:szCs w:val="19"/>
              </w:rPr>
            </w:pPr>
            <w:r w:rsidRPr="00D96D9D">
              <w:rPr>
                <w:rFonts w:asciiTheme="minorHAnsi" w:hAnsiTheme="minorHAnsi"/>
                <w:color w:val="222222"/>
                <w:sz w:val="19"/>
                <w:szCs w:val="19"/>
              </w:rPr>
              <w:t>12 April 1912–8 October 1914</w:t>
            </w:r>
          </w:p>
        </w:tc>
      </w:tr>
      <w:tr w:rsidR="00030303" w:rsidRPr="00DB2B77" w14:paraId="20CE9C27" w14:textId="77777777" w:rsidTr="00030303">
        <w:tc>
          <w:tcPr>
            <w:tcW w:w="3759" w:type="pct"/>
            <w:tcBorders>
              <w:top w:val="single" w:sz="4" w:space="0" w:color="auto"/>
              <w:left w:val="single" w:sz="4" w:space="0" w:color="auto"/>
              <w:bottom w:val="single" w:sz="4" w:space="0" w:color="auto"/>
              <w:right w:val="nil"/>
            </w:tcBorders>
            <w:vAlign w:val="top"/>
          </w:tcPr>
          <w:p w14:paraId="07C48DF1" w14:textId="77777777" w:rsidR="00030303" w:rsidRPr="00D96D9D" w:rsidRDefault="00030303" w:rsidP="00030303">
            <w:pPr>
              <w:spacing w:after="0" w:line="240" w:lineRule="auto"/>
              <w:rPr>
                <w:rFonts w:asciiTheme="minorHAnsi" w:eastAsia="Times New Roman" w:hAnsiTheme="minorHAnsi" w:cs="Times New Roman"/>
                <w:color w:val="222222"/>
                <w:w w:val="100"/>
                <w:kern w:val="0"/>
                <w:sz w:val="19"/>
                <w:szCs w:val="19"/>
              </w:rPr>
            </w:pPr>
            <w:r w:rsidRPr="00D96D9D">
              <w:rPr>
                <w:rFonts w:asciiTheme="minorHAnsi" w:hAnsiTheme="minorHAnsi"/>
                <w:color w:val="222222"/>
                <w:sz w:val="19"/>
                <w:szCs w:val="19"/>
              </w:rPr>
              <w:t>Royal Commission appointed to inquire into certain charges against Mr. Henry Chinn</w:t>
            </w:r>
          </w:p>
        </w:tc>
        <w:tc>
          <w:tcPr>
            <w:tcW w:w="1241" w:type="pct"/>
            <w:tcBorders>
              <w:top w:val="single" w:sz="4" w:space="0" w:color="auto"/>
              <w:left w:val="nil"/>
              <w:bottom w:val="single" w:sz="4" w:space="0" w:color="auto"/>
              <w:right w:val="single" w:sz="4" w:space="0" w:color="auto"/>
            </w:tcBorders>
            <w:shd w:val="clear" w:color="auto" w:fill="D9D9D9"/>
            <w:vAlign w:val="top"/>
          </w:tcPr>
          <w:p w14:paraId="1A85F9D8" w14:textId="77777777" w:rsidR="00030303" w:rsidRPr="00D96D9D" w:rsidRDefault="00030303" w:rsidP="00030303">
            <w:pPr>
              <w:rPr>
                <w:rFonts w:asciiTheme="minorHAnsi" w:hAnsiTheme="minorHAnsi"/>
                <w:color w:val="222222"/>
                <w:sz w:val="19"/>
                <w:szCs w:val="19"/>
              </w:rPr>
            </w:pPr>
            <w:r w:rsidRPr="00D96D9D">
              <w:rPr>
                <w:rFonts w:asciiTheme="minorHAnsi" w:hAnsiTheme="minorHAnsi"/>
                <w:color w:val="222222"/>
                <w:sz w:val="19"/>
                <w:szCs w:val="19"/>
              </w:rPr>
              <w:t>4 January–27 November 1913</w:t>
            </w:r>
          </w:p>
        </w:tc>
      </w:tr>
      <w:tr w:rsidR="00030303" w:rsidRPr="00DB2B77" w14:paraId="0A7597B7" w14:textId="77777777" w:rsidTr="00030303">
        <w:tc>
          <w:tcPr>
            <w:tcW w:w="3759" w:type="pct"/>
            <w:tcBorders>
              <w:top w:val="single" w:sz="4" w:space="0" w:color="auto"/>
              <w:left w:val="single" w:sz="4" w:space="0" w:color="auto"/>
              <w:bottom w:val="single" w:sz="4" w:space="0" w:color="auto"/>
              <w:right w:val="nil"/>
            </w:tcBorders>
            <w:vAlign w:val="top"/>
          </w:tcPr>
          <w:p w14:paraId="31493EFD" w14:textId="77777777" w:rsidR="00030303" w:rsidRPr="00D96D9D" w:rsidRDefault="00030303" w:rsidP="00030303">
            <w:pPr>
              <w:spacing w:after="0" w:line="240" w:lineRule="auto"/>
              <w:rPr>
                <w:rFonts w:asciiTheme="minorHAnsi" w:eastAsia="Times New Roman" w:hAnsiTheme="minorHAnsi" w:cs="Times New Roman"/>
                <w:color w:val="222222"/>
                <w:w w:val="100"/>
                <w:kern w:val="0"/>
                <w:sz w:val="19"/>
                <w:szCs w:val="19"/>
              </w:rPr>
            </w:pPr>
            <w:r w:rsidRPr="00D96D9D">
              <w:rPr>
                <w:rFonts w:asciiTheme="minorHAnsi" w:hAnsiTheme="minorHAnsi"/>
                <w:color w:val="222222"/>
                <w:sz w:val="19"/>
                <w:szCs w:val="19"/>
              </w:rPr>
              <w:t>Royal Commission on Northern Territory railways and ports</w:t>
            </w:r>
          </w:p>
        </w:tc>
        <w:tc>
          <w:tcPr>
            <w:tcW w:w="1241" w:type="pct"/>
            <w:tcBorders>
              <w:top w:val="single" w:sz="4" w:space="0" w:color="auto"/>
              <w:left w:val="nil"/>
              <w:bottom w:val="single" w:sz="4" w:space="0" w:color="auto"/>
              <w:right w:val="single" w:sz="4" w:space="0" w:color="auto"/>
            </w:tcBorders>
            <w:shd w:val="clear" w:color="auto" w:fill="D9D9D9"/>
            <w:vAlign w:val="top"/>
          </w:tcPr>
          <w:p w14:paraId="620239F0" w14:textId="77777777" w:rsidR="00030303" w:rsidRPr="00D96D9D" w:rsidRDefault="00030303" w:rsidP="00030303">
            <w:pPr>
              <w:rPr>
                <w:rFonts w:asciiTheme="minorHAnsi" w:hAnsiTheme="minorHAnsi"/>
                <w:color w:val="222222"/>
                <w:sz w:val="19"/>
                <w:szCs w:val="19"/>
              </w:rPr>
            </w:pPr>
            <w:r w:rsidRPr="00D96D9D">
              <w:rPr>
                <w:rFonts w:asciiTheme="minorHAnsi" w:hAnsiTheme="minorHAnsi"/>
                <w:color w:val="222222"/>
                <w:sz w:val="19"/>
                <w:szCs w:val="19"/>
              </w:rPr>
              <w:t>28 March 1913–24 June 1914</w:t>
            </w:r>
          </w:p>
        </w:tc>
      </w:tr>
      <w:tr w:rsidR="00030303" w:rsidRPr="00DB2B77" w14:paraId="314D4197" w14:textId="77777777" w:rsidTr="00030303">
        <w:tc>
          <w:tcPr>
            <w:tcW w:w="3759" w:type="pct"/>
            <w:tcBorders>
              <w:top w:val="single" w:sz="4" w:space="0" w:color="auto"/>
              <w:left w:val="single" w:sz="4" w:space="0" w:color="auto"/>
              <w:bottom w:val="single" w:sz="4" w:space="0" w:color="auto"/>
              <w:right w:val="nil"/>
            </w:tcBorders>
            <w:vAlign w:val="top"/>
          </w:tcPr>
          <w:p w14:paraId="5C49EDB1" w14:textId="77777777" w:rsidR="00030303" w:rsidRPr="00D96D9D" w:rsidRDefault="00030303" w:rsidP="00030303">
            <w:pPr>
              <w:spacing w:after="0" w:line="240" w:lineRule="auto"/>
              <w:rPr>
                <w:rFonts w:asciiTheme="minorHAnsi" w:eastAsia="Times New Roman" w:hAnsiTheme="minorHAnsi" w:cs="Times New Roman"/>
                <w:color w:val="222222"/>
                <w:w w:val="100"/>
                <w:kern w:val="0"/>
                <w:sz w:val="19"/>
                <w:szCs w:val="19"/>
              </w:rPr>
            </w:pPr>
            <w:r w:rsidRPr="00D96D9D">
              <w:rPr>
                <w:rFonts w:asciiTheme="minorHAnsi" w:hAnsiTheme="minorHAnsi"/>
                <w:color w:val="222222"/>
                <w:sz w:val="19"/>
                <w:szCs w:val="19"/>
              </w:rPr>
              <w:t>Royal Commission on powellised timber</w:t>
            </w:r>
          </w:p>
        </w:tc>
        <w:tc>
          <w:tcPr>
            <w:tcW w:w="1241" w:type="pct"/>
            <w:tcBorders>
              <w:top w:val="single" w:sz="4" w:space="0" w:color="auto"/>
              <w:left w:val="nil"/>
              <w:bottom w:val="single" w:sz="4" w:space="0" w:color="auto"/>
              <w:right w:val="single" w:sz="4" w:space="0" w:color="auto"/>
            </w:tcBorders>
            <w:shd w:val="clear" w:color="auto" w:fill="D9D9D9"/>
            <w:vAlign w:val="top"/>
          </w:tcPr>
          <w:p w14:paraId="1B309192" w14:textId="77777777" w:rsidR="00030303" w:rsidRPr="00D96D9D" w:rsidRDefault="00030303" w:rsidP="00030303">
            <w:pPr>
              <w:rPr>
                <w:rFonts w:asciiTheme="minorHAnsi" w:hAnsiTheme="minorHAnsi"/>
                <w:color w:val="222222"/>
                <w:sz w:val="19"/>
                <w:szCs w:val="19"/>
              </w:rPr>
            </w:pPr>
            <w:r w:rsidRPr="00D96D9D">
              <w:rPr>
                <w:rFonts w:asciiTheme="minorHAnsi" w:hAnsiTheme="minorHAnsi"/>
                <w:color w:val="222222"/>
                <w:sz w:val="19"/>
                <w:szCs w:val="19"/>
              </w:rPr>
              <w:t>19 December 1913–8 October 1914</w:t>
            </w:r>
          </w:p>
        </w:tc>
      </w:tr>
      <w:tr w:rsidR="00030303" w:rsidRPr="00DB2B77" w14:paraId="5AF6F388" w14:textId="77777777" w:rsidTr="00030303">
        <w:tc>
          <w:tcPr>
            <w:tcW w:w="3759" w:type="pct"/>
            <w:tcBorders>
              <w:top w:val="single" w:sz="4" w:space="0" w:color="auto"/>
              <w:left w:val="single" w:sz="4" w:space="0" w:color="auto"/>
              <w:bottom w:val="single" w:sz="4" w:space="0" w:color="auto"/>
              <w:right w:val="nil"/>
            </w:tcBorders>
            <w:vAlign w:val="top"/>
          </w:tcPr>
          <w:p w14:paraId="7BDA167E" w14:textId="77777777" w:rsidR="00030303" w:rsidRPr="00D96D9D" w:rsidRDefault="00030303" w:rsidP="00030303">
            <w:pPr>
              <w:spacing w:after="0" w:line="240" w:lineRule="auto"/>
              <w:rPr>
                <w:rFonts w:asciiTheme="minorHAnsi" w:eastAsia="Times New Roman" w:hAnsiTheme="minorHAnsi" w:cs="Times New Roman"/>
                <w:color w:val="222222"/>
                <w:w w:val="100"/>
                <w:kern w:val="0"/>
                <w:sz w:val="19"/>
                <w:szCs w:val="19"/>
              </w:rPr>
            </w:pPr>
            <w:r w:rsidRPr="00D96D9D">
              <w:rPr>
                <w:rFonts w:asciiTheme="minorHAnsi" w:hAnsiTheme="minorHAnsi"/>
                <w:color w:val="222222"/>
                <w:sz w:val="19"/>
                <w:szCs w:val="19"/>
              </w:rPr>
              <w:t>Royal Commission upon the Commonwealth electoral law and administration</w:t>
            </w:r>
          </w:p>
        </w:tc>
        <w:tc>
          <w:tcPr>
            <w:tcW w:w="1241" w:type="pct"/>
            <w:tcBorders>
              <w:top w:val="single" w:sz="4" w:space="0" w:color="auto"/>
              <w:left w:val="nil"/>
              <w:bottom w:val="single" w:sz="4" w:space="0" w:color="auto"/>
              <w:right w:val="single" w:sz="4" w:space="0" w:color="auto"/>
            </w:tcBorders>
            <w:shd w:val="clear" w:color="auto" w:fill="D9D9D9"/>
            <w:vAlign w:val="top"/>
          </w:tcPr>
          <w:p w14:paraId="789DDB67" w14:textId="77777777" w:rsidR="00030303" w:rsidRPr="00D96D9D" w:rsidRDefault="00030303" w:rsidP="00030303">
            <w:pPr>
              <w:rPr>
                <w:rFonts w:asciiTheme="minorHAnsi" w:hAnsiTheme="minorHAnsi"/>
                <w:color w:val="222222"/>
                <w:sz w:val="19"/>
                <w:szCs w:val="19"/>
              </w:rPr>
            </w:pPr>
            <w:r w:rsidRPr="00D96D9D">
              <w:rPr>
                <w:rFonts w:asciiTheme="minorHAnsi" w:hAnsiTheme="minorHAnsi"/>
                <w:color w:val="222222"/>
                <w:sz w:val="19"/>
                <w:szCs w:val="19"/>
              </w:rPr>
              <w:t>20 January 1914–14 July 1915</w:t>
            </w:r>
          </w:p>
        </w:tc>
      </w:tr>
      <w:tr w:rsidR="00030303" w:rsidRPr="00DB2B77" w14:paraId="6B217896" w14:textId="77777777" w:rsidTr="00030303">
        <w:tc>
          <w:tcPr>
            <w:tcW w:w="3759" w:type="pct"/>
            <w:tcBorders>
              <w:top w:val="single" w:sz="4" w:space="0" w:color="auto"/>
              <w:left w:val="single" w:sz="4" w:space="0" w:color="auto"/>
              <w:bottom w:val="single" w:sz="4" w:space="0" w:color="auto"/>
              <w:right w:val="nil"/>
            </w:tcBorders>
            <w:vAlign w:val="top"/>
          </w:tcPr>
          <w:p w14:paraId="4EE97EA6" w14:textId="77777777" w:rsidR="00030303" w:rsidRPr="00D96D9D" w:rsidRDefault="00030303" w:rsidP="00030303">
            <w:pPr>
              <w:spacing w:after="0" w:line="240" w:lineRule="auto"/>
              <w:rPr>
                <w:rFonts w:asciiTheme="minorHAnsi" w:eastAsia="Times New Roman" w:hAnsiTheme="minorHAnsi" w:cs="Times New Roman"/>
                <w:color w:val="222222"/>
                <w:w w:val="100"/>
                <w:kern w:val="0"/>
                <w:sz w:val="19"/>
                <w:szCs w:val="19"/>
              </w:rPr>
            </w:pPr>
            <w:r w:rsidRPr="00D96D9D">
              <w:rPr>
                <w:rFonts w:asciiTheme="minorHAnsi" w:hAnsiTheme="minorHAnsi"/>
                <w:color w:val="222222"/>
                <w:sz w:val="19"/>
                <w:szCs w:val="19"/>
              </w:rPr>
              <w:t>Royal Commission on meat export trade</w:t>
            </w:r>
          </w:p>
        </w:tc>
        <w:tc>
          <w:tcPr>
            <w:tcW w:w="1241" w:type="pct"/>
            <w:tcBorders>
              <w:top w:val="single" w:sz="4" w:space="0" w:color="auto"/>
              <w:left w:val="nil"/>
              <w:bottom w:val="single" w:sz="4" w:space="0" w:color="auto"/>
              <w:right w:val="single" w:sz="4" w:space="0" w:color="auto"/>
            </w:tcBorders>
            <w:shd w:val="clear" w:color="auto" w:fill="D9D9D9"/>
            <w:vAlign w:val="top"/>
          </w:tcPr>
          <w:p w14:paraId="6EAC82C4" w14:textId="77777777" w:rsidR="00030303" w:rsidRPr="00D96D9D" w:rsidRDefault="00030303" w:rsidP="00030303">
            <w:pPr>
              <w:rPr>
                <w:rFonts w:asciiTheme="minorHAnsi" w:hAnsiTheme="minorHAnsi"/>
                <w:color w:val="222222"/>
                <w:sz w:val="19"/>
                <w:szCs w:val="19"/>
              </w:rPr>
            </w:pPr>
            <w:r w:rsidRPr="00D96D9D">
              <w:rPr>
                <w:rFonts w:asciiTheme="minorHAnsi" w:hAnsiTheme="minorHAnsi"/>
                <w:color w:val="222222"/>
                <w:sz w:val="19"/>
                <w:szCs w:val="19"/>
              </w:rPr>
              <w:t>5 June–2 December 1914</w:t>
            </w:r>
          </w:p>
        </w:tc>
      </w:tr>
      <w:tr w:rsidR="00030303" w:rsidRPr="00DB2B77" w14:paraId="481E8BA8" w14:textId="77777777" w:rsidTr="00030303">
        <w:tc>
          <w:tcPr>
            <w:tcW w:w="3759" w:type="pct"/>
            <w:tcBorders>
              <w:top w:val="single" w:sz="4" w:space="0" w:color="auto"/>
              <w:left w:val="single" w:sz="4" w:space="0" w:color="auto"/>
              <w:bottom w:val="single" w:sz="4" w:space="0" w:color="auto"/>
              <w:right w:val="nil"/>
            </w:tcBorders>
            <w:vAlign w:val="top"/>
          </w:tcPr>
          <w:p w14:paraId="7E1BF52B" w14:textId="77777777" w:rsidR="00030303" w:rsidRPr="00D96D9D" w:rsidRDefault="00030303" w:rsidP="00030303">
            <w:pPr>
              <w:spacing w:after="0" w:line="240" w:lineRule="auto"/>
              <w:rPr>
                <w:rFonts w:asciiTheme="minorHAnsi" w:eastAsia="Times New Roman" w:hAnsiTheme="minorHAnsi" w:cs="Times New Roman"/>
                <w:color w:val="222222"/>
                <w:w w:val="100"/>
                <w:kern w:val="0"/>
                <w:sz w:val="19"/>
                <w:szCs w:val="19"/>
              </w:rPr>
            </w:pPr>
            <w:r w:rsidRPr="00D96D9D">
              <w:rPr>
                <w:rFonts w:asciiTheme="minorHAnsi" w:hAnsiTheme="minorHAnsi"/>
                <w:color w:val="222222"/>
                <w:sz w:val="19"/>
                <w:szCs w:val="19"/>
              </w:rPr>
              <w:t>Royal Commission on food supplies and trade and industry during the war</w:t>
            </w:r>
          </w:p>
        </w:tc>
        <w:tc>
          <w:tcPr>
            <w:tcW w:w="1241" w:type="pct"/>
            <w:tcBorders>
              <w:top w:val="single" w:sz="4" w:space="0" w:color="auto"/>
              <w:left w:val="nil"/>
              <w:bottom w:val="single" w:sz="4" w:space="0" w:color="auto"/>
              <w:right w:val="single" w:sz="4" w:space="0" w:color="auto"/>
            </w:tcBorders>
            <w:shd w:val="clear" w:color="auto" w:fill="D9D9D9"/>
            <w:vAlign w:val="top"/>
          </w:tcPr>
          <w:p w14:paraId="11997B5E" w14:textId="77777777" w:rsidR="00030303" w:rsidRPr="00D96D9D" w:rsidRDefault="00030303" w:rsidP="00030303">
            <w:pPr>
              <w:rPr>
                <w:rFonts w:asciiTheme="minorHAnsi" w:hAnsiTheme="minorHAnsi"/>
                <w:color w:val="222222"/>
                <w:sz w:val="19"/>
                <w:szCs w:val="19"/>
              </w:rPr>
            </w:pPr>
            <w:r w:rsidRPr="00D96D9D">
              <w:rPr>
                <w:rFonts w:asciiTheme="minorHAnsi" w:hAnsiTheme="minorHAnsi"/>
                <w:color w:val="222222"/>
                <w:sz w:val="19"/>
                <w:szCs w:val="19"/>
              </w:rPr>
              <w:t>31 August–16 December 1914</w:t>
            </w:r>
          </w:p>
        </w:tc>
      </w:tr>
      <w:tr w:rsidR="00030303" w:rsidRPr="00DB2B77" w14:paraId="3E9A2A3A" w14:textId="77777777" w:rsidTr="00030303">
        <w:tc>
          <w:tcPr>
            <w:tcW w:w="3759" w:type="pct"/>
            <w:tcBorders>
              <w:top w:val="single" w:sz="4" w:space="0" w:color="auto"/>
              <w:left w:val="single" w:sz="4" w:space="0" w:color="auto"/>
              <w:bottom w:val="single" w:sz="4" w:space="0" w:color="auto"/>
              <w:right w:val="nil"/>
            </w:tcBorders>
            <w:vAlign w:val="top"/>
          </w:tcPr>
          <w:p w14:paraId="56E082F2" w14:textId="77777777" w:rsidR="00030303" w:rsidRPr="00D96D9D" w:rsidRDefault="00030303" w:rsidP="00030303">
            <w:pPr>
              <w:spacing w:after="0" w:line="240" w:lineRule="auto"/>
              <w:rPr>
                <w:rFonts w:asciiTheme="minorHAnsi" w:eastAsia="Times New Roman" w:hAnsiTheme="minorHAnsi" w:cs="Times New Roman"/>
                <w:color w:val="222222"/>
                <w:w w:val="100"/>
                <w:kern w:val="0"/>
                <w:sz w:val="19"/>
                <w:szCs w:val="19"/>
              </w:rPr>
            </w:pPr>
            <w:r w:rsidRPr="00D96D9D">
              <w:rPr>
                <w:rFonts w:asciiTheme="minorHAnsi" w:hAnsiTheme="minorHAnsi"/>
                <w:color w:val="222222"/>
                <w:sz w:val="19"/>
                <w:szCs w:val="19"/>
              </w:rPr>
              <w:t>Royal Commission on mail services and trade development between Australia and the New Hebrides</w:t>
            </w:r>
          </w:p>
        </w:tc>
        <w:tc>
          <w:tcPr>
            <w:tcW w:w="1241" w:type="pct"/>
            <w:tcBorders>
              <w:top w:val="single" w:sz="4" w:space="0" w:color="auto"/>
              <w:left w:val="nil"/>
              <w:bottom w:val="single" w:sz="4" w:space="0" w:color="auto"/>
              <w:right w:val="single" w:sz="4" w:space="0" w:color="auto"/>
            </w:tcBorders>
            <w:shd w:val="clear" w:color="auto" w:fill="D9D9D9"/>
            <w:vAlign w:val="top"/>
          </w:tcPr>
          <w:p w14:paraId="7E0C72B9" w14:textId="77777777" w:rsidR="00030303" w:rsidRPr="00D96D9D" w:rsidRDefault="00030303" w:rsidP="00030303">
            <w:pPr>
              <w:rPr>
                <w:rFonts w:asciiTheme="minorHAnsi" w:hAnsiTheme="minorHAnsi"/>
                <w:color w:val="222222"/>
                <w:sz w:val="19"/>
                <w:szCs w:val="19"/>
              </w:rPr>
            </w:pPr>
            <w:r w:rsidRPr="00D96D9D">
              <w:rPr>
                <w:rFonts w:asciiTheme="minorHAnsi" w:hAnsiTheme="minorHAnsi"/>
                <w:color w:val="222222"/>
                <w:sz w:val="19"/>
                <w:szCs w:val="19"/>
              </w:rPr>
              <w:t>31 March–28 July 1915</w:t>
            </w:r>
          </w:p>
        </w:tc>
      </w:tr>
      <w:tr w:rsidR="00030303" w:rsidRPr="00DB2B77" w14:paraId="1F124AE3" w14:textId="77777777" w:rsidTr="00030303">
        <w:tc>
          <w:tcPr>
            <w:tcW w:w="3759" w:type="pct"/>
            <w:tcBorders>
              <w:top w:val="single" w:sz="4" w:space="0" w:color="auto"/>
              <w:left w:val="single" w:sz="4" w:space="0" w:color="auto"/>
              <w:bottom w:val="single" w:sz="4" w:space="0" w:color="auto"/>
              <w:right w:val="nil"/>
            </w:tcBorders>
            <w:vAlign w:val="top"/>
          </w:tcPr>
          <w:p w14:paraId="3B52D933" w14:textId="77777777" w:rsidR="00030303" w:rsidRPr="00D96D9D" w:rsidRDefault="00030303" w:rsidP="00030303">
            <w:pPr>
              <w:spacing w:after="0" w:line="240" w:lineRule="auto"/>
              <w:rPr>
                <w:rFonts w:asciiTheme="minorHAnsi" w:eastAsia="Times New Roman" w:hAnsiTheme="minorHAnsi" w:cs="Times New Roman"/>
                <w:color w:val="222222"/>
                <w:w w:val="100"/>
                <w:kern w:val="0"/>
                <w:sz w:val="19"/>
                <w:szCs w:val="19"/>
              </w:rPr>
            </w:pPr>
            <w:r w:rsidRPr="00D96D9D">
              <w:rPr>
                <w:rFonts w:asciiTheme="minorHAnsi" w:hAnsiTheme="minorHAnsi"/>
                <w:color w:val="222222"/>
                <w:sz w:val="19"/>
                <w:szCs w:val="19"/>
              </w:rPr>
              <w:t>Royal Commission on Liverpool Military Camp, New South Wales</w:t>
            </w:r>
          </w:p>
        </w:tc>
        <w:tc>
          <w:tcPr>
            <w:tcW w:w="1241" w:type="pct"/>
            <w:tcBorders>
              <w:top w:val="single" w:sz="4" w:space="0" w:color="auto"/>
              <w:left w:val="nil"/>
              <w:bottom w:val="single" w:sz="4" w:space="0" w:color="auto"/>
              <w:right w:val="single" w:sz="4" w:space="0" w:color="auto"/>
            </w:tcBorders>
            <w:shd w:val="clear" w:color="auto" w:fill="D9D9D9"/>
            <w:vAlign w:val="top"/>
          </w:tcPr>
          <w:p w14:paraId="7463431B" w14:textId="77777777" w:rsidR="00030303" w:rsidRPr="00D96D9D" w:rsidRDefault="00030303" w:rsidP="00030303">
            <w:pPr>
              <w:rPr>
                <w:rFonts w:asciiTheme="minorHAnsi" w:hAnsiTheme="minorHAnsi"/>
                <w:color w:val="222222"/>
                <w:sz w:val="19"/>
                <w:szCs w:val="19"/>
              </w:rPr>
            </w:pPr>
            <w:r w:rsidRPr="00D96D9D">
              <w:rPr>
                <w:rFonts w:asciiTheme="minorHAnsi" w:hAnsiTheme="minorHAnsi"/>
                <w:color w:val="222222"/>
                <w:sz w:val="19"/>
                <w:szCs w:val="19"/>
              </w:rPr>
              <w:t>12 July–20 August 1915</w:t>
            </w:r>
          </w:p>
        </w:tc>
      </w:tr>
      <w:tr w:rsidR="00030303" w:rsidRPr="00DB2B77" w14:paraId="56A60B42" w14:textId="77777777" w:rsidTr="00030303">
        <w:tc>
          <w:tcPr>
            <w:tcW w:w="3759" w:type="pct"/>
            <w:tcBorders>
              <w:top w:val="single" w:sz="4" w:space="0" w:color="auto"/>
              <w:left w:val="single" w:sz="4" w:space="0" w:color="auto"/>
              <w:bottom w:val="single" w:sz="4" w:space="0" w:color="auto"/>
              <w:right w:val="nil"/>
            </w:tcBorders>
            <w:vAlign w:val="top"/>
          </w:tcPr>
          <w:p w14:paraId="1BCFA57B" w14:textId="77777777" w:rsidR="00030303" w:rsidRPr="00D96D9D" w:rsidRDefault="00030303" w:rsidP="00030303">
            <w:pPr>
              <w:spacing w:after="0" w:line="240" w:lineRule="auto"/>
              <w:rPr>
                <w:rFonts w:asciiTheme="minorHAnsi" w:eastAsia="Times New Roman" w:hAnsiTheme="minorHAnsi" w:cs="Times New Roman"/>
                <w:color w:val="222222"/>
                <w:w w:val="100"/>
                <w:kern w:val="0"/>
                <w:sz w:val="19"/>
                <w:szCs w:val="19"/>
              </w:rPr>
            </w:pPr>
            <w:r w:rsidRPr="00D96D9D">
              <w:rPr>
                <w:rFonts w:asciiTheme="minorHAnsi" w:hAnsiTheme="minorHAnsi"/>
                <w:color w:val="222222"/>
                <w:sz w:val="19"/>
                <w:szCs w:val="19"/>
              </w:rPr>
              <w:t>Royal Commission on the charges made by D. L. Gilchrist concerning the construction of the western section of the Kalgoorlie to Port Augusta Railway</w:t>
            </w:r>
          </w:p>
        </w:tc>
        <w:tc>
          <w:tcPr>
            <w:tcW w:w="1241" w:type="pct"/>
            <w:tcBorders>
              <w:top w:val="single" w:sz="4" w:space="0" w:color="auto"/>
              <w:left w:val="nil"/>
              <w:bottom w:val="single" w:sz="4" w:space="0" w:color="auto"/>
              <w:right w:val="single" w:sz="4" w:space="0" w:color="auto"/>
            </w:tcBorders>
            <w:shd w:val="clear" w:color="auto" w:fill="D9D9D9"/>
            <w:vAlign w:val="top"/>
          </w:tcPr>
          <w:p w14:paraId="080C304F" w14:textId="77777777" w:rsidR="00030303" w:rsidRPr="00D96D9D" w:rsidRDefault="00030303" w:rsidP="00030303">
            <w:pPr>
              <w:rPr>
                <w:rFonts w:asciiTheme="minorHAnsi" w:hAnsiTheme="minorHAnsi"/>
                <w:color w:val="222222"/>
                <w:sz w:val="19"/>
                <w:szCs w:val="19"/>
              </w:rPr>
            </w:pPr>
            <w:r w:rsidRPr="00D96D9D">
              <w:rPr>
                <w:rFonts w:asciiTheme="minorHAnsi" w:hAnsiTheme="minorHAnsi"/>
                <w:color w:val="222222"/>
                <w:sz w:val="19"/>
                <w:szCs w:val="19"/>
              </w:rPr>
              <w:t>23 March–13 September 1916</w:t>
            </w:r>
          </w:p>
        </w:tc>
      </w:tr>
      <w:tr w:rsidR="00030303" w:rsidRPr="00DB2B77" w14:paraId="71ECB4B5" w14:textId="77777777" w:rsidTr="00030303">
        <w:tc>
          <w:tcPr>
            <w:tcW w:w="3759" w:type="pct"/>
            <w:tcBorders>
              <w:top w:val="single" w:sz="4" w:space="0" w:color="auto"/>
              <w:left w:val="single" w:sz="4" w:space="0" w:color="auto"/>
              <w:bottom w:val="single" w:sz="4" w:space="0" w:color="auto"/>
              <w:right w:val="nil"/>
            </w:tcBorders>
            <w:vAlign w:val="top"/>
          </w:tcPr>
          <w:p w14:paraId="3B0AC489" w14:textId="77777777" w:rsidR="00030303" w:rsidRPr="00D96D9D" w:rsidRDefault="00030303" w:rsidP="00030303">
            <w:pPr>
              <w:spacing w:after="0" w:line="240" w:lineRule="auto"/>
              <w:rPr>
                <w:rFonts w:asciiTheme="minorHAnsi" w:eastAsia="Times New Roman" w:hAnsiTheme="minorHAnsi" w:cs="Times New Roman"/>
                <w:color w:val="222222"/>
                <w:w w:val="100"/>
                <w:kern w:val="0"/>
                <w:sz w:val="19"/>
                <w:szCs w:val="19"/>
              </w:rPr>
            </w:pPr>
            <w:r w:rsidRPr="00D96D9D">
              <w:rPr>
                <w:rFonts w:asciiTheme="minorHAnsi" w:hAnsiTheme="minorHAnsi"/>
                <w:color w:val="222222"/>
                <w:sz w:val="19"/>
                <w:szCs w:val="19"/>
              </w:rPr>
              <w:t>Royal Commission to inquire into and report upon certain charges against the Administrator and other officers of the Northern Territory Administration</w:t>
            </w:r>
          </w:p>
        </w:tc>
        <w:tc>
          <w:tcPr>
            <w:tcW w:w="1241" w:type="pct"/>
            <w:tcBorders>
              <w:top w:val="single" w:sz="4" w:space="0" w:color="auto"/>
              <w:left w:val="nil"/>
              <w:bottom w:val="single" w:sz="4" w:space="0" w:color="auto"/>
              <w:right w:val="single" w:sz="4" w:space="0" w:color="auto"/>
            </w:tcBorders>
            <w:shd w:val="clear" w:color="auto" w:fill="D9D9D9"/>
            <w:vAlign w:val="top"/>
          </w:tcPr>
          <w:p w14:paraId="27228247" w14:textId="77777777" w:rsidR="00030303" w:rsidRPr="00D96D9D" w:rsidRDefault="00030303" w:rsidP="00030303">
            <w:pPr>
              <w:rPr>
                <w:rFonts w:asciiTheme="minorHAnsi" w:hAnsiTheme="minorHAnsi"/>
                <w:color w:val="222222"/>
                <w:sz w:val="19"/>
                <w:szCs w:val="19"/>
              </w:rPr>
            </w:pPr>
            <w:r w:rsidRPr="00D96D9D">
              <w:rPr>
                <w:rFonts w:asciiTheme="minorHAnsi" w:hAnsiTheme="minorHAnsi"/>
                <w:color w:val="222222"/>
                <w:sz w:val="19"/>
                <w:szCs w:val="19"/>
              </w:rPr>
              <w:t>11 May–13 September 1916</w:t>
            </w:r>
          </w:p>
        </w:tc>
      </w:tr>
      <w:tr w:rsidR="00030303" w:rsidRPr="00DB2B77" w14:paraId="712C09B9" w14:textId="77777777" w:rsidTr="00030303">
        <w:tc>
          <w:tcPr>
            <w:tcW w:w="3759" w:type="pct"/>
            <w:tcBorders>
              <w:top w:val="single" w:sz="4" w:space="0" w:color="auto"/>
              <w:left w:val="single" w:sz="4" w:space="0" w:color="auto"/>
              <w:bottom w:val="single" w:sz="4" w:space="0" w:color="auto"/>
              <w:right w:val="nil"/>
            </w:tcBorders>
            <w:vAlign w:val="top"/>
          </w:tcPr>
          <w:p w14:paraId="20DD7892" w14:textId="77777777" w:rsidR="00030303" w:rsidRPr="00D96D9D" w:rsidRDefault="00030303" w:rsidP="00030303">
            <w:pPr>
              <w:spacing w:after="0" w:line="240" w:lineRule="auto"/>
              <w:rPr>
                <w:rFonts w:asciiTheme="minorHAnsi" w:eastAsia="Times New Roman" w:hAnsiTheme="minorHAnsi" w:cs="Times New Roman"/>
                <w:color w:val="222222"/>
                <w:w w:val="100"/>
                <w:kern w:val="0"/>
                <w:sz w:val="19"/>
                <w:szCs w:val="19"/>
              </w:rPr>
            </w:pPr>
            <w:r w:rsidRPr="00D96D9D">
              <w:rPr>
                <w:rFonts w:asciiTheme="minorHAnsi" w:hAnsiTheme="minorHAnsi"/>
                <w:color w:val="222222"/>
                <w:sz w:val="19"/>
                <w:szCs w:val="19"/>
              </w:rPr>
              <w:t>Royal Commission on Federal Capital Administration</w:t>
            </w:r>
          </w:p>
        </w:tc>
        <w:tc>
          <w:tcPr>
            <w:tcW w:w="1241" w:type="pct"/>
            <w:tcBorders>
              <w:top w:val="single" w:sz="4" w:space="0" w:color="auto"/>
              <w:left w:val="nil"/>
              <w:bottom w:val="single" w:sz="4" w:space="0" w:color="auto"/>
              <w:right w:val="single" w:sz="4" w:space="0" w:color="auto"/>
            </w:tcBorders>
            <w:shd w:val="clear" w:color="auto" w:fill="D9D9D9"/>
            <w:vAlign w:val="top"/>
          </w:tcPr>
          <w:p w14:paraId="6B673368" w14:textId="77777777" w:rsidR="00030303" w:rsidRPr="00D96D9D" w:rsidRDefault="00030303" w:rsidP="00030303">
            <w:pPr>
              <w:rPr>
                <w:rFonts w:asciiTheme="minorHAnsi" w:hAnsiTheme="minorHAnsi"/>
                <w:color w:val="222222"/>
                <w:sz w:val="19"/>
                <w:szCs w:val="19"/>
              </w:rPr>
            </w:pPr>
            <w:r w:rsidRPr="00D96D9D">
              <w:rPr>
                <w:rFonts w:asciiTheme="minorHAnsi" w:hAnsiTheme="minorHAnsi"/>
                <w:color w:val="222222"/>
                <w:sz w:val="19"/>
                <w:szCs w:val="19"/>
              </w:rPr>
              <w:t>14 June 1916–14 June 1917</w:t>
            </w:r>
          </w:p>
        </w:tc>
      </w:tr>
      <w:tr w:rsidR="00030303" w:rsidRPr="00DB2B77" w14:paraId="4355DC10" w14:textId="77777777" w:rsidTr="00030303">
        <w:tc>
          <w:tcPr>
            <w:tcW w:w="3759" w:type="pct"/>
            <w:tcBorders>
              <w:top w:val="single" w:sz="4" w:space="0" w:color="auto"/>
              <w:left w:val="single" w:sz="4" w:space="0" w:color="auto"/>
              <w:bottom w:val="single" w:sz="4" w:space="0" w:color="auto"/>
              <w:right w:val="nil"/>
            </w:tcBorders>
            <w:vAlign w:val="top"/>
          </w:tcPr>
          <w:p w14:paraId="417E029B" w14:textId="77777777" w:rsidR="00030303" w:rsidRPr="00D96D9D" w:rsidRDefault="00030303" w:rsidP="00030303">
            <w:pPr>
              <w:spacing w:after="0" w:line="240" w:lineRule="auto"/>
              <w:rPr>
                <w:rFonts w:asciiTheme="minorHAnsi" w:eastAsia="Times New Roman" w:hAnsiTheme="minorHAnsi" w:cs="Times New Roman"/>
                <w:color w:val="222222"/>
                <w:w w:val="100"/>
                <w:kern w:val="0"/>
                <w:sz w:val="19"/>
                <w:szCs w:val="19"/>
              </w:rPr>
            </w:pPr>
            <w:r w:rsidRPr="00D96D9D">
              <w:rPr>
                <w:rFonts w:asciiTheme="minorHAnsi" w:hAnsiTheme="minorHAnsi"/>
                <w:color w:val="222222"/>
                <w:sz w:val="19"/>
                <w:szCs w:val="19"/>
              </w:rPr>
              <w:lastRenderedPageBreak/>
              <w:t xml:space="preserve">Royal Commission on Java and the East </w:t>
            </w:r>
            <w:proofErr w:type="gramStart"/>
            <w:r w:rsidRPr="00D96D9D">
              <w:rPr>
                <w:rFonts w:asciiTheme="minorHAnsi" w:hAnsiTheme="minorHAnsi"/>
                <w:color w:val="222222"/>
                <w:sz w:val="19"/>
                <w:szCs w:val="19"/>
              </w:rPr>
              <w:t>Indies ,</w:t>
            </w:r>
            <w:proofErr w:type="gramEnd"/>
            <w:r w:rsidRPr="00D96D9D">
              <w:rPr>
                <w:rFonts w:asciiTheme="minorHAnsi" w:hAnsiTheme="minorHAnsi"/>
                <w:color w:val="222222"/>
                <w:sz w:val="19"/>
                <w:szCs w:val="19"/>
              </w:rPr>
              <w:t xml:space="preserve"> Singapore and the Straits Settlements</w:t>
            </w:r>
          </w:p>
        </w:tc>
        <w:tc>
          <w:tcPr>
            <w:tcW w:w="1241" w:type="pct"/>
            <w:tcBorders>
              <w:top w:val="single" w:sz="4" w:space="0" w:color="auto"/>
              <w:left w:val="nil"/>
              <w:bottom w:val="single" w:sz="4" w:space="0" w:color="auto"/>
              <w:right w:val="single" w:sz="4" w:space="0" w:color="auto"/>
            </w:tcBorders>
            <w:shd w:val="clear" w:color="auto" w:fill="D9D9D9"/>
            <w:vAlign w:val="top"/>
          </w:tcPr>
          <w:p w14:paraId="1A36CCA7" w14:textId="77777777" w:rsidR="00030303" w:rsidRPr="00D96D9D" w:rsidRDefault="00030303" w:rsidP="00030303">
            <w:pPr>
              <w:rPr>
                <w:rFonts w:asciiTheme="minorHAnsi" w:hAnsiTheme="minorHAnsi"/>
                <w:color w:val="222222"/>
                <w:sz w:val="19"/>
                <w:szCs w:val="19"/>
              </w:rPr>
            </w:pPr>
            <w:r w:rsidRPr="00D96D9D">
              <w:rPr>
                <w:rFonts w:asciiTheme="minorHAnsi" w:hAnsiTheme="minorHAnsi"/>
                <w:color w:val="222222"/>
                <w:sz w:val="19"/>
                <w:szCs w:val="19"/>
              </w:rPr>
              <w:t>7 February 1917–10 May 1918</w:t>
            </w:r>
          </w:p>
        </w:tc>
      </w:tr>
      <w:tr w:rsidR="00030303" w:rsidRPr="00DB2B77" w14:paraId="77331257" w14:textId="77777777" w:rsidTr="00030303">
        <w:tc>
          <w:tcPr>
            <w:tcW w:w="3759" w:type="pct"/>
            <w:tcBorders>
              <w:top w:val="single" w:sz="4" w:space="0" w:color="auto"/>
              <w:left w:val="single" w:sz="4" w:space="0" w:color="auto"/>
              <w:bottom w:val="single" w:sz="4" w:space="0" w:color="auto"/>
              <w:right w:val="nil"/>
            </w:tcBorders>
            <w:vAlign w:val="top"/>
          </w:tcPr>
          <w:p w14:paraId="4FE830E5" w14:textId="77777777" w:rsidR="00030303" w:rsidRPr="00D96D9D" w:rsidRDefault="00030303" w:rsidP="00030303">
            <w:pPr>
              <w:spacing w:after="0" w:line="240" w:lineRule="auto"/>
              <w:rPr>
                <w:rFonts w:asciiTheme="minorHAnsi" w:eastAsia="Times New Roman" w:hAnsiTheme="minorHAnsi" w:cs="Times New Roman"/>
                <w:color w:val="222222"/>
                <w:w w:val="100"/>
                <w:kern w:val="0"/>
                <w:sz w:val="19"/>
                <w:szCs w:val="19"/>
              </w:rPr>
            </w:pPr>
            <w:r w:rsidRPr="00D96D9D">
              <w:rPr>
                <w:rFonts w:asciiTheme="minorHAnsi" w:hAnsiTheme="minorHAnsi"/>
                <w:color w:val="222222"/>
                <w:sz w:val="19"/>
                <w:szCs w:val="19"/>
              </w:rPr>
              <w:t>Royal Commission on Navy and Defence Administration</w:t>
            </w:r>
          </w:p>
        </w:tc>
        <w:tc>
          <w:tcPr>
            <w:tcW w:w="1241" w:type="pct"/>
            <w:tcBorders>
              <w:top w:val="single" w:sz="4" w:space="0" w:color="auto"/>
              <w:left w:val="nil"/>
              <w:bottom w:val="single" w:sz="4" w:space="0" w:color="auto"/>
              <w:right w:val="single" w:sz="4" w:space="0" w:color="auto"/>
            </w:tcBorders>
            <w:shd w:val="clear" w:color="auto" w:fill="D9D9D9"/>
            <w:vAlign w:val="top"/>
          </w:tcPr>
          <w:p w14:paraId="19A8AE4A" w14:textId="77777777" w:rsidR="00030303" w:rsidRPr="00D96D9D" w:rsidRDefault="00030303" w:rsidP="00030303">
            <w:pPr>
              <w:rPr>
                <w:rFonts w:asciiTheme="minorHAnsi" w:hAnsiTheme="minorHAnsi"/>
                <w:color w:val="222222"/>
                <w:sz w:val="19"/>
                <w:szCs w:val="19"/>
              </w:rPr>
            </w:pPr>
            <w:r w:rsidRPr="00D96D9D">
              <w:rPr>
                <w:rFonts w:asciiTheme="minorHAnsi" w:hAnsiTheme="minorHAnsi"/>
                <w:color w:val="222222"/>
                <w:sz w:val="19"/>
                <w:szCs w:val="19"/>
              </w:rPr>
              <w:t>2 July 1917–4 July 1919</w:t>
            </w:r>
          </w:p>
        </w:tc>
      </w:tr>
      <w:tr w:rsidR="00030303" w:rsidRPr="00DB2B77" w14:paraId="35D90DE1" w14:textId="77777777" w:rsidTr="00030303">
        <w:tc>
          <w:tcPr>
            <w:tcW w:w="3759" w:type="pct"/>
            <w:tcBorders>
              <w:top w:val="single" w:sz="4" w:space="0" w:color="auto"/>
              <w:left w:val="single" w:sz="4" w:space="0" w:color="auto"/>
              <w:bottom w:val="single" w:sz="4" w:space="0" w:color="auto"/>
              <w:right w:val="nil"/>
            </w:tcBorders>
            <w:vAlign w:val="top"/>
          </w:tcPr>
          <w:p w14:paraId="7D537C0D" w14:textId="77777777" w:rsidR="00030303" w:rsidRPr="00D96D9D" w:rsidRDefault="00030303" w:rsidP="00030303">
            <w:pPr>
              <w:spacing w:after="0" w:line="240" w:lineRule="auto"/>
              <w:rPr>
                <w:rFonts w:asciiTheme="minorHAnsi" w:eastAsia="Times New Roman" w:hAnsiTheme="minorHAnsi" w:cs="Times New Roman"/>
                <w:color w:val="222222"/>
                <w:w w:val="100"/>
                <w:kern w:val="0"/>
                <w:sz w:val="19"/>
                <w:szCs w:val="19"/>
              </w:rPr>
            </w:pPr>
            <w:r w:rsidRPr="00D96D9D">
              <w:rPr>
                <w:rFonts w:asciiTheme="minorHAnsi" w:hAnsiTheme="minorHAnsi"/>
                <w:color w:val="222222"/>
                <w:sz w:val="19"/>
                <w:szCs w:val="19"/>
              </w:rPr>
              <w:t>Royal Commission on the war—Australian Imperial Force. Report as to number of members fit for active service and number of reinforcements and enlistments required</w:t>
            </w:r>
          </w:p>
        </w:tc>
        <w:tc>
          <w:tcPr>
            <w:tcW w:w="1241" w:type="pct"/>
            <w:tcBorders>
              <w:top w:val="single" w:sz="4" w:space="0" w:color="auto"/>
              <w:left w:val="nil"/>
              <w:bottom w:val="single" w:sz="4" w:space="0" w:color="auto"/>
              <w:right w:val="single" w:sz="4" w:space="0" w:color="auto"/>
            </w:tcBorders>
            <w:shd w:val="clear" w:color="auto" w:fill="D9D9D9"/>
            <w:vAlign w:val="top"/>
          </w:tcPr>
          <w:p w14:paraId="06CB0705" w14:textId="77777777" w:rsidR="00030303" w:rsidRPr="00D96D9D" w:rsidRDefault="00030303" w:rsidP="00030303">
            <w:pPr>
              <w:rPr>
                <w:rFonts w:asciiTheme="minorHAnsi" w:hAnsiTheme="minorHAnsi"/>
                <w:color w:val="222222"/>
                <w:sz w:val="19"/>
                <w:szCs w:val="19"/>
              </w:rPr>
            </w:pPr>
            <w:r w:rsidRPr="00D96D9D">
              <w:rPr>
                <w:rFonts w:asciiTheme="minorHAnsi" w:hAnsiTheme="minorHAnsi"/>
                <w:color w:val="222222"/>
                <w:sz w:val="19"/>
                <w:szCs w:val="19"/>
              </w:rPr>
              <w:t>6 March–4 April 1918</w:t>
            </w:r>
          </w:p>
        </w:tc>
      </w:tr>
      <w:tr w:rsidR="00030303" w:rsidRPr="00DB2B77" w14:paraId="33E6F53E" w14:textId="77777777" w:rsidTr="00030303">
        <w:tc>
          <w:tcPr>
            <w:tcW w:w="3759" w:type="pct"/>
            <w:tcBorders>
              <w:top w:val="single" w:sz="4" w:space="0" w:color="auto"/>
              <w:left w:val="single" w:sz="4" w:space="0" w:color="auto"/>
              <w:bottom w:val="single" w:sz="4" w:space="0" w:color="auto"/>
              <w:right w:val="nil"/>
            </w:tcBorders>
            <w:vAlign w:val="top"/>
          </w:tcPr>
          <w:p w14:paraId="62F63A04" w14:textId="77777777" w:rsidR="00030303" w:rsidRPr="00D96D9D" w:rsidRDefault="00030303" w:rsidP="00030303">
            <w:pPr>
              <w:spacing w:after="0" w:line="240" w:lineRule="auto"/>
              <w:rPr>
                <w:rFonts w:asciiTheme="minorHAnsi" w:eastAsia="Times New Roman" w:hAnsiTheme="minorHAnsi" w:cs="Times New Roman"/>
                <w:color w:val="222222"/>
                <w:w w:val="100"/>
                <w:kern w:val="0"/>
                <w:sz w:val="19"/>
                <w:szCs w:val="19"/>
              </w:rPr>
            </w:pPr>
            <w:r w:rsidRPr="00D96D9D">
              <w:rPr>
                <w:rFonts w:asciiTheme="minorHAnsi" w:hAnsiTheme="minorHAnsi"/>
                <w:color w:val="222222"/>
                <w:sz w:val="19"/>
                <w:szCs w:val="19"/>
              </w:rPr>
              <w:t>Royal Commission on Public Service administration, Commonwealth of Australia</w:t>
            </w:r>
          </w:p>
        </w:tc>
        <w:tc>
          <w:tcPr>
            <w:tcW w:w="1241" w:type="pct"/>
            <w:tcBorders>
              <w:top w:val="single" w:sz="4" w:space="0" w:color="auto"/>
              <w:left w:val="nil"/>
              <w:bottom w:val="single" w:sz="4" w:space="0" w:color="auto"/>
              <w:right w:val="single" w:sz="4" w:space="0" w:color="auto"/>
            </w:tcBorders>
            <w:shd w:val="clear" w:color="auto" w:fill="D9D9D9"/>
            <w:vAlign w:val="top"/>
          </w:tcPr>
          <w:p w14:paraId="1B1C9E05" w14:textId="77777777" w:rsidR="00030303" w:rsidRPr="00D96D9D" w:rsidRDefault="00030303" w:rsidP="00030303">
            <w:pPr>
              <w:rPr>
                <w:rFonts w:asciiTheme="minorHAnsi" w:hAnsiTheme="minorHAnsi"/>
                <w:color w:val="222222"/>
                <w:sz w:val="19"/>
                <w:szCs w:val="19"/>
              </w:rPr>
            </w:pPr>
            <w:r w:rsidRPr="00D96D9D">
              <w:rPr>
                <w:rFonts w:asciiTheme="minorHAnsi" w:hAnsiTheme="minorHAnsi"/>
                <w:color w:val="222222"/>
                <w:sz w:val="19"/>
                <w:szCs w:val="19"/>
              </w:rPr>
              <w:t>2 October 1918–28 July 1920</w:t>
            </w:r>
          </w:p>
        </w:tc>
      </w:tr>
      <w:tr w:rsidR="00030303" w:rsidRPr="00DB2B77" w14:paraId="1E73EDB3" w14:textId="77777777" w:rsidTr="00030303">
        <w:tc>
          <w:tcPr>
            <w:tcW w:w="3759" w:type="pct"/>
            <w:tcBorders>
              <w:top w:val="single" w:sz="4" w:space="0" w:color="auto"/>
              <w:left w:val="single" w:sz="4" w:space="0" w:color="auto"/>
              <w:bottom w:val="single" w:sz="4" w:space="0" w:color="auto"/>
              <w:right w:val="nil"/>
            </w:tcBorders>
            <w:vAlign w:val="top"/>
          </w:tcPr>
          <w:p w14:paraId="3E5B13AE" w14:textId="77777777" w:rsidR="00030303" w:rsidRPr="00D96D9D" w:rsidRDefault="00030303" w:rsidP="00030303">
            <w:pPr>
              <w:spacing w:after="0" w:line="240" w:lineRule="auto"/>
              <w:rPr>
                <w:rFonts w:asciiTheme="minorHAnsi" w:eastAsia="Times New Roman" w:hAnsiTheme="minorHAnsi" w:cs="Times New Roman"/>
                <w:color w:val="222222"/>
                <w:w w:val="100"/>
                <w:kern w:val="0"/>
                <w:sz w:val="19"/>
                <w:szCs w:val="19"/>
              </w:rPr>
            </w:pPr>
            <w:r w:rsidRPr="00D96D9D">
              <w:rPr>
                <w:rFonts w:asciiTheme="minorHAnsi" w:hAnsiTheme="minorHAnsi"/>
                <w:color w:val="222222"/>
                <w:sz w:val="19"/>
                <w:szCs w:val="19"/>
              </w:rPr>
              <w:t>Royal Commission ... upon the public expenditure of the Commonwealth of Australia with a view to effecting economies</w:t>
            </w:r>
          </w:p>
        </w:tc>
        <w:tc>
          <w:tcPr>
            <w:tcW w:w="1241" w:type="pct"/>
            <w:tcBorders>
              <w:top w:val="single" w:sz="4" w:space="0" w:color="auto"/>
              <w:left w:val="nil"/>
              <w:bottom w:val="single" w:sz="4" w:space="0" w:color="auto"/>
              <w:right w:val="single" w:sz="4" w:space="0" w:color="auto"/>
            </w:tcBorders>
            <w:shd w:val="clear" w:color="auto" w:fill="D9D9D9"/>
            <w:vAlign w:val="top"/>
          </w:tcPr>
          <w:p w14:paraId="470ED0FA" w14:textId="77777777" w:rsidR="00030303" w:rsidRPr="00D96D9D" w:rsidRDefault="00030303" w:rsidP="00030303">
            <w:pPr>
              <w:rPr>
                <w:rFonts w:asciiTheme="minorHAnsi" w:hAnsiTheme="minorHAnsi"/>
                <w:color w:val="222222"/>
                <w:sz w:val="19"/>
                <w:szCs w:val="19"/>
              </w:rPr>
            </w:pPr>
            <w:r w:rsidRPr="00D96D9D">
              <w:rPr>
                <w:rFonts w:asciiTheme="minorHAnsi" w:hAnsiTheme="minorHAnsi"/>
                <w:color w:val="222222"/>
                <w:sz w:val="19"/>
                <w:szCs w:val="19"/>
              </w:rPr>
              <w:t>21 November 1918–6 April 1921</w:t>
            </w:r>
          </w:p>
        </w:tc>
      </w:tr>
      <w:tr w:rsidR="00030303" w:rsidRPr="00DB2B77" w14:paraId="4B1E2A2F" w14:textId="77777777" w:rsidTr="00030303">
        <w:tc>
          <w:tcPr>
            <w:tcW w:w="3759" w:type="pct"/>
            <w:tcBorders>
              <w:top w:val="single" w:sz="4" w:space="0" w:color="auto"/>
              <w:left w:val="single" w:sz="4" w:space="0" w:color="auto"/>
              <w:bottom w:val="single" w:sz="4" w:space="0" w:color="auto"/>
              <w:right w:val="nil"/>
            </w:tcBorders>
            <w:vAlign w:val="top"/>
          </w:tcPr>
          <w:p w14:paraId="6072AE90" w14:textId="77777777" w:rsidR="00030303" w:rsidRPr="00D96D9D" w:rsidRDefault="00030303" w:rsidP="00030303">
            <w:pPr>
              <w:spacing w:after="0" w:line="240" w:lineRule="auto"/>
              <w:rPr>
                <w:rFonts w:asciiTheme="minorHAnsi" w:eastAsia="Times New Roman" w:hAnsiTheme="minorHAnsi" w:cs="Times New Roman"/>
                <w:color w:val="222222"/>
                <w:w w:val="100"/>
                <w:kern w:val="0"/>
                <w:sz w:val="19"/>
                <w:szCs w:val="19"/>
              </w:rPr>
            </w:pPr>
            <w:r w:rsidRPr="00D96D9D">
              <w:rPr>
                <w:rFonts w:asciiTheme="minorHAnsi" w:hAnsiTheme="minorHAnsi"/>
                <w:color w:val="222222"/>
                <w:sz w:val="19"/>
                <w:szCs w:val="19"/>
              </w:rPr>
              <w:t>Royal Commission on taxation of leasehold estates in Crown lands</w:t>
            </w:r>
          </w:p>
        </w:tc>
        <w:tc>
          <w:tcPr>
            <w:tcW w:w="1241" w:type="pct"/>
            <w:tcBorders>
              <w:top w:val="single" w:sz="4" w:space="0" w:color="auto"/>
              <w:left w:val="nil"/>
              <w:bottom w:val="single" w:sz="4" w:space="0" w:color="auto"/>
              <w:right w:val="single" w:sz="4" w:space="0" w:color="auto"/>
            </w:tcBorders>
            <w:shd w:val="clear" w:color="auto" w:fill="D9D9D9"/>
            <w:vAlign w:val="top"/>
          </w:tcPr>
          <w:p w14:paraId="2A9FAF8B" w14:textId="77777777" w:rsidR="00030303" w:rsidRPr="00D96D9D" w:rsidRDefault="00030303" w:rsidP="00030303">
            <w:pPr>
              <w:rPr>
                <w:rFonts w:asciiTheme="minorHAnsi" w:hAnsiTheme="minorHAnsi"/>
                <w:color w:val="222222"/>
                <w:sz w:val="19"/>
                <w:szCs w:val="19"/>
              </w:rPr>
            </w:pPr>
            <w:r w:rsidRPr="00D96D9D">
              <w:rPr>
                <w:rFonts w:asciiTheme="minorHAnsi" w:hAnsiTheme="minorHAnsi"/>
                <w:color w:val="222222"/>
                <w:sz w:val="19"/>
                <w:szCs w:val="19"/>
              </w:rPr>
              <w:t>18 December 1918–9 October 1919</w:t>
            </w:r>
          </w:p>
        </w:tc>
      </w:tr>
      <w:tr w:rsidR="00030303" w:rsidRPr="00DB2B77" w14:paraId="5794E3A0" w14:textId="77777777" w:rsidTr="00030303">
        <w:tc>
          <w:tcPr>
            <w:tcW w:w="3759" w:type="pct"/>
            <w:tcBorders>
              <w:top w:val="single" w:sz="4" w:space="0" w:color="auto"/>
              <w:left w:val="single" w:sz="4" w:space="0" w:color="auto"/>
              <w:bottom w:val="single" w:sz="4" w:space="0" w:color="auto"/>
              <w:right w:val="nil"/>
            </w:tcBorders>
            <w:vAlign w:val="top"/>
          </w:tcPr>
          <w:p w14:paraId="5F4519E0" w14:textId="77777777" w:rsidR="00030303" w:rsidRPr="00D96D9D" w:rsidRDefault="00030303" w:rsidP="00030303">
            <w:pPr>
              <w:spacing w:after="0" w:line="240" w:lineRule="auto"/>
              <w:rPr>
                <w:rFonts w:asciiTheme="minorHAnsi" w:eastAsia="Times New Roman" w:hAnsiTheme="minorHAnsi" w:cs="Times New Roman"/>
                <w:color w:val="222222"/>
                <w:w w:val="100"/>
                <w:kern w:val="0"/>
                <w:sz w:val="19"/>
                <w:szCs w:val="19"/>
              </w:rPr>
            </w:pPr>
            <w:r w:rsidRPr="00D96D9D">
              <w:rPr>
                <w:rFonts w:asciiTheme="minorHAnsi" w:hAnsiTheme="minorHAnsi"/>
                <w:color w:val="222222"/>
                <w:sz w:val="19"/>
                <w:szCs w:val="19"/>
              </w:rPr>
              <w:t>Royal Commission on the sugar industry</w:t>
            </w:r>
          </w:p>
        </w:tc>
        <w:tc>
          <w:tcPr>
            <w:tcW w:w="1241" w:type="pct"/>
            <w:tcBorders>
              <w:top w:val="single" w:sz="4" w:space="0" w:color="auto"/>
              <w:left w:val="nil"/>
              <w:bottom w:val="single" w:sz="4" w:space="0" w:color="auto"/>
              <w:right w:val="single" w:sz="4" w:space="0" w:color="auto"/>
            </w:tcBorders>
            <w:shd w:val="clear" w:color="auto" w:fill="D9D9D9"/>
            <w:vAlign w:val="top"/>
          </w:tcPr>
          <w:p w14:paraId="78FE872E" w14:textId="77777777" w:rsidR="00030303" w:rsidRPr="00D96D9D" w:rsidRDefault="00030303" w:rsidP="00030303">
            <w:pPr>
              <w:rPr>
                <w:rFonts w:asciiTheme="minorHAnsi" w:hAnsiTheme="minorHAnsi"/>
                <w:color w:val="222222"/>
                <w:sz w:val="19"/>
                <w:szCs w:val="19"/>
              </w:rPr>
            </w:pPr>
            <w:r w:rsidRPr="00D96D9D">
              <w:rPr>
                <w:rFonts w:asciiTheme="minorHAnsi" w:hAnsiTheme="minorHAnsi"/>
                <w:color w:val="222222"/>
                <w:sz w:val="19"/>
                <w:szCs w:val="19"/>
              </w:rPr>
              <w:t>31 March 1919–18 March 1920</w:t>
            </w:r>
          </w:p>
        </w:tc>
      </w:tr>
      <w:tr w:rsidR="00030303" w:rsidRPr="00DB2B77" w14:paraId="6EC5C3CE" w14:textId="77777777" w:rsidTr="00030303">
        <w:tc>
          <w:tcPr>
            <w:tcW w:w="3759" w:type="pct"/>
            <w:tcBorders>
              <w:top w:val="single" w:sz="4" w:space="0" w:color="auto"/>
              <w:left w:val="single" w:sz="4" w:space="0" w:color="auto"/>
              <w:bottom w:val="single" w:sz="4" w:space="0" w:color="auto"/>
              <w:right w:val="nil"/>
            </w:tcBorders>
            <w:vAlign w:val="top"/>
          </w:tcPr>
          <w:p w14:paraId="05ED4AF8" w14:textId="77777777" w:rsidR="00030303" w:rsidRPr="00D96D9D" w:rsidRDefault="00030303" w:rsidP="00030303">
            <w:pPr>
              <w:spacing w:after="0" w:line="240" w:lineRule="auto"/>
              <w:rPr>
                <w:rFonts w:asciiTheme="minorHAnsi" w:eastAsia="Times New Roman" w:hAnsiTheme="minorHAnsi" w:cs="Times New Roman"/>
                <w:color w:val="222222"/>
                <w:w w:val="100"/>
                <w:kern w:val="0"/>
                <w:sz w:val="19"/>
                <w:szCs w:val="19"/>
              </w:rPr>
            </w:pPr>
            <w:r w:rsidRPr="00D96D9D">
              <w:rPr>
                <w:rFonts w:asciiTheme="minorHAnsi" w:hAnsiTheme="minorHAnsi"/>
                <w:color w:val="222222"/>
                <w:sz w:val="19"/>
                <w:szCs w:val="19"/>
              </w:rPr>
              <w:t>Royal Commission on industrial troubles on Melbourne wharfs</w:t>
            </w:r>
          </w:p>
        </w:tc>
        <w:tc>
          <w:tcPr>
            <w:tcW w:w="1241" w:type="pct"/>
            <w:tcBorders>
              <w:top w:val="single" w:sz="4" w:space="0" w:color="auto"/>
              <w:left w:val="nil"/>
              <w:bottom w:val="single" w:sz="4" w:space="0" w:color="auto"/>
              <w:right w:val="single" w:sz="4" w:space="0" w:color="auto"/>
            </w:tcBorders>
            <w:shd w:val="clear" w:color="auto" w:fill="D9D9D9"/>
            <w:vAlign w:val="top"/>
          </w:tcPr>
          <w:p w14:paraId="7B61B766" w14:textId="77777777" w:rsidR="00030303" w:rsidRPr="00D96D9D" w:rsidRDefault="00030303" w:rsidP="00030303">
            <w:pPr>
              <w:rPr>
                <w:rFonts w:asciiTheme="minorHAnsi" w:hAnsiTheme="minorHAnsi"/>
                <w:color w:val="222222"/>
                <w:sz w:val="19"/>
                <w:szCs w:val="19"/>
              </w:rPr>
            </w:pPr>
            <w:r w:rsidRPr="00D96D9D">
              <w:rPr>
                <w:rFonts w:asciiTheme="minorHAnsi" w:hAnsiTheme="minorHAnsi"/>
                <w:color w:val="222222"/>
                <w:sz w:val="19"/>
                <w:szCs w:val="19"/>
              </w:rPr>
              <w:t>7 June 1919–6 May 1920</w:t>
            </w:r>
          </w:p>
        </w:tc>
      </w:tr>
      <w:tr w:rsidR="00030303" w:rsidRPr="00DB2B77" w14:paraId="3643096F" w14:textId="77777777" w:rsidTr="00030303">
        <w:tc>
          <w:tcPr>
            <w:tcW w:w="3759" w:type="pct"/>
            <w:tcBorders>
              <w:top w:val="single" w:sz="4" w:space="0" w:color="auto"/>
              <w:left w:val="single" w:sz="4" w:space="0" w:color="auto"/>
              <w:bottom w:val="single" w:sz="4" w:space="0" w:color="auto"/>
              <w:right w:val="nil"/>
            </w:tcBorders>
            <w:vAlign w:val="top"/>
          </w:tcPr>
          <w:p w14:paraId="33F5AA80" w14:textId="77777777" w:rsidR="00030303" w:rsidRPr="00D96D9D" w:rsidRDefault="00030303" w:rsidP="00030303">
            <w:pPr>
              <w:spacing w:after="0" w:line="240" w:lineRule="auto"/>
              <w:rPr>
                <w:rFonts w:asciiTheme="minorHAnsi" w:eastAsia="Times New Roman" w:hAnsiTheme="minorHAnsi" w:cs="Times New Roman"/>
                <w:color w:val="222222"/>
                <w:w w:val="100"/>
                <w:kern w:val="0"/>
                <w:sz w:val="19"/>
                <w:szCs w:val="19"/>
              </w:rPr>
            </w:pPr>
            <w:r w:rsidRPr="00D96D9D">
              <w:rPr>
                <w:rFonts w:asciiTheme="minorHAnsi" w:hAnsiTheme="minorHAnsi"/>
                <w:color w:val="222222"/>
                <w:sz w:val="19"/>
                <w:szCs w:val="19"/>
              </w:rPr>
              <w:t>Royal Commission on late German New Guinea</w:t>
            </w:r>
          </w:p>
        </w:tc>
        <w:tc>
          <w:tcPr>
            <w:tcW w:w="1241" w:type="pct"/>
            <w:tcBorders>
              <w:top w:val="single" w:sz="4" w:space="0" w:color="auto"/>
              <w:left w:val="nil"/>
              <w:bottom w:val="single" w:sz="4" w:space="0" w:color="auto"/>
              <w:right w:val="single" w:sz="4" w:space="0" w:color="auto"/>
            </w:tcBorders>
            <w:shd w:val="clear" w:color="auto" w:fill="D9D9D9"/>
            <w:vAlign w:val="top"/>
          </w:tcPr>
          <w:p w14:paraId="729AC34B" w14:textId="77777777" w:rsidR="00030303" w:rsidRPr="00D96D9D" w:rsidRDefault="00030303" w:rsidP="00030303">
            <w:pPr>
              <w:rPr>
                <w:rFonts w:asciiTheme="minorHAnsi" w:hAnsiTheme="minorHAnsi"/>
                <w:color w:val="222222"/>
                <w:sz w:val="19"/>
                <w:szCs w:val="19"/>
              </w:rPr>
            </w:pPr>
            <w:r w:rsidRPr="00D96D9D">
              <w:rPr>
                <w:rFonts w:asciiTheme="minorHAnsi" w:hAnsiTheme="minorHAnsi"/>
                <w:color w:val="222222"/>
                <w:sz w:val="19"/>
                <w:szCs w:val="19"/>
              </w:rPr>
              <w:t>12 August 1919–21 May 1920</w:t>
            </w:r>
          </w:p>
        </w:tc>
      </w:tr>
      <w:tr w:rsidR="00030303" w:rsidRPr="00DB2B77" w14:paraId="276D6C0B" w14:textId="77777777" w:rsidTr="00030303">
        <w:tc>
          <w:tcPr>
            <w:tcW w:w="3759" w:type="pct"/>
            <w:tcBorders>
              <w:top w:val="single" w:sz="4" w:space="0" w:color="auto"/>
              <w:left w:val="single" w:sz="4" w:space="0" w:color="auto"/>
              <w:bottom w:val="single" w:sz="4" w:space="0" w:color="auto"/>
              <w:right w:val="nil"/>
            </w:tcBorders>
            <w:vAlign w:val="top"/>
          </w:tcPr>
          <w:p w14:paraId="44CDC476" w14:textId="77777777" w:rsidR="00030303" w:rsidRPr="00D96D9D" w:rsidRDefault="00030303" w:rsidP="00030303">
            <w:pPr>
              <w:spacing w:after="0" w:line="240" w:lineRule="auto"/>
              <w:rPr>
                <w:rFonts w:asciiTheme="minorHAnsi" w:eastAsia="Times New Roman" w:hAnsiTheme="minorHAnsi" w:cs="Times New Roman"/>
                <w:color w:val="222222"/>
                <w:w w:val="100"/>
                <w:kern w:val="0"/>
                <w:sz w:val="19"/>
                <w:szCs w:val="19"/>
              </w:rPr>
            </w:pPr>
            <w:r w:rsidRPr="00D96D9D">
              <w:rPr>
                <w:rFonts w:asciiTheme="minorHAnsi" w:hAnsiTheme="minorHAnsi"/>
                <w:color w:val="222222"/>
                <w:sz w:val="19"/>
                <w:szCs w:val="19"/>
              </w:rPr>
              <w:t>Royal Commission to inquire into complaints by the munition worker passengers to Australia by the transport "Bahia Castillo"</w:t>
            </w:r>
          </w:p>
        </w:tc>
        <w:tc>
          <w:tcPr>
            <w:tcW w:w="1241" w:type="pct"/>
            <w:tcBorders>
              <w:top w:val="single" w:sz="4" w:space="0" w:color="auto"/>
              <w:left w:val="nil"/>
              <w:bottom w:val="single" w:sz="4" w:space="0" w:color="auto"/>
              <w:right w:val="single" w:sz="4" w:space="0" w:color="auto"/>
            </w:tcBorders>
            <w:shd w:val="clear" w:color="auto" w:fill="D9D9D9"/>
            <w:vAlign w:val="top"/>
          </w:tcPr>
          <w:p w14:paraId="24F6B43E" w14:textId="77777777" w:rsidR="00030303" w:rsidRPr="00D96D9D" w:rsidRDefault="00030303" w:rsidP="00030303">
            <w:pPr>
              <w:rPr>
                <w:rFonts w:asciiTheme="minorHAnsi" w:hAnsiTheme="minorHAnsi"/>
                <w:color w:val="222222"/>
                <w:sz w:val="19"/>
                <w:szCs w:val="19"/>
              </w:rPr>
            </w:pPr>
            <w:r w:rsidRPr="00D96D9D">
              <w:rPr>
                <w:rFonts w:asciiTheme="minorHAnsi" w:hAnsiTheme="minorHAnsi"/>
                <w:color w:val="222222"/>
                <w:sz w:val="19"/>
                <w:szCs w:val="19"/>
              </w:rPr>
              <w:t>15 October 1919–24 December 1919</w:t>
            </w:r>
          </w:p>
        </w:tc>
      </w:tr>
      <w:tr w:rsidR="00030303" w:rsidRPr="00DB2B77" w14:paraId="0FD220C6" w14:textId="77777777" w:rsidTr="00030303">
        <w:tc>
          <w:tcPr>
            <w:tcW w:w="3759" w:type="pct"/>
            <w:tcBorders>
              <w:top w:val="single" w:sz="4" w:space="0" w:color="auto"/>
              <w:left w:val="single" w:sz="4" w:space="0" w:color="auto"/>
              <w:bottom w:val="single" w:sz="4" w:space="0" w:color="auto"/>
              <w:right w:val="nil"/>
            </w:tcBorders>
            <w:vAlign w:val="top"/>
          </w:tcPr>
          <w:p w14:paraId="2BD69A58" w14:textId="77777777" w:rsidR="00030303" w:rsidRPr="00D96D9D" w:rsidRDefault="00030303" w:rsidP="00030303">
            <w:pPr>
              <w:spacing w:after="0" w:line="240" w:lineRule="auto"/>
              <w:rPr>
                <w:rFonts w:asciiTheme="minorHAnsi" w:eastAsia="Times New Roman" w:hAnsiTheme="minorHAnsi" w:cs="Times New Roman"/>
                <w:color w:val="222222"/>
                <w:w w:val="100"/>
                <w:kern w:val="0"/>
                <w:sz w:val="19"/>
                <w:szCs w:val="19"/>
              </w:rPr>
            </w:pPr>
            <w:r w:rsidRPr="00D96D9D">
              <w:rPr>
                <w:rFonts w:asciiTheme="minorHAnsi" w:hAnsiTheme="minorHAnsi"/>
                <w:color w:val="222222"/>
                <w:sz w:val="19"/>
                <w:szCs w:val="19"/>
              </w:rPr>
              <w:t>Royal Commission on Northern Territory Administration</w:t>
            </w:r>
          </w:p>
        </w:tc>
        <w:tc>
          <w:tcPr>
            <w:tcW w:w="1241" w:type="pct"/>
            <w:tcBorders>
              <w:top w:val="single" w:sz="4" w:space="0" w:color="auto"/>
              <w:left w:val="nil"/>
              <w:bottom w:val="single" w:sz="4" w:space="0" w:color="auto"/>
              <w:right w:val="single" w:sz="4" w:space="0" w:color="auto"/>
            </w:tcBorders>
            <w:shd w:val="clear" w:color="auto" w:fill="D9D9D9"/>
            <w:vAlign w:val="top"/>
          </w:tcPr>
          <w:p w14:paraId="62EBEC39" w14:textId="77777777" w:rsidR="00030303" w:rsidRPr="00D96D9D" w:rsidRDefault="00030303" w:rsidP="00030303">
            <w:pPr>
              <w:rPr>
                <w:rFonts w:asciiTheme="minorHAnsi" w:hAnsiTheme="minorHAnsi"/>
                <w:color w:val="222222"/>
                <w:sz w:val="19"/>
                <w:szCs w:val="19"/>
              </w:rPr>
            </w:pPr>
            <w:r w:rsidRPr="00D96D9D">
              <w:rPr>
                <w:rFonts w:asciiTheme="minorHAnsi" w:hAnsiTheme="minorHAnsi"/>
                <w:color w:val="222222"/>
                <w:sz w:val="19"/>
                <w:szCs w:val="19"/>
              </w:rPr>
              <w:t>12 November 1919–21 May 1920</w:t>
            </w:r>
          </w:p>
        </w:tc>
      </w:tr>
      <w:tr w:rsidR="00030303" w:rsidRPr="00DB2B77" w14:paraId="3BFE2EF2" w14:textId="77777777" w:rsidTr="00030303">
        <w:tc>
          <w:tcPr>
            <w:tcW w:w="3759" w:type="pct"/>
            <w:tcBorders>
              <w:top w:val="single" w:sz="4" w:space="0" w:color="auto"/>
              <w:left w:val="single" w:sz="4" w:space="0" w:color="auto"/>
              <w:bottom w:val="single" w:sz="4" w:space="0" w:color="auto"/>
              <w:right w:val="nil"/>
            </w:tcBorders>
            <w:vAlign w:val="top"/>
          </w:tcPr>
          <w:p w14:paraId="0B400C26" w14:textId="77777777" w:rsidR="00030303" w:rsidRPr="00D96D9D" w:rsidRDefault="00030303" w:rsidP="00030303">
            <w:pPr>
              <w:spacing w:after="0" w:line="240" w:lineRule="auto"/>
              <w:rPr>
                <w:rFonts w:asciiTheme="minorHAnsi" w:eastAsia="Times New Roman" w:hAnsiTheme="minorHAnsi" w:cs="Times New Roman"/>
                <w:color w:val="222222"/>
                <w:w w:val="100"/>
                <w:kern w:val="0"/>
                <w:sz w:val="19"/>
                <w:szCs w:val="19"/>
              </w:rPr>
            </w:pPr>
            <w:r w:rsidRPr="00D96D9D">
              <w:rPr>
                <w:rFonts w:asciiTheme="minorHAnsi" w:hAnsiTheme="minorHAnsi"/>
                <w:color w:val="222222"/>
                <w:sz w:val="19"/>
                <w:szCs w:val="19"/>
              </w:rPr>
              <w:t>Royal Commission on the basic wage</w:t>
            </w:r>
          </w:p>
        </w:tc>
        <w:tc>
          <w:tcPr>
            <w:tcW w:w="1241" w:type="pct"/>
            <w:tcBorders>
              <w:top w:val="single" w:sz="4" w:space="0" w:color="auto"/>
              <w:left w:val="nil"/>
              <w:bottom w:val="single" w:sz="4" w:space="0" w:color="auto"/>
              <w:right w:val="single" w:sz="4" w:space="0" w:color="auto"/>
            </w:tcBorders>
            <w:shd w:val="clear" w:color="auto" w:fill="D9D9D9"/>
            <w:vAlign w:val="top"/>
          </w:tcPr>
          <w:p w14:paraId="331EB478" w14:textId="77777777" w:rsidR="00030303" w:rsidRPr="00D96D9D" w:rsidRDefault="00030303" w:rsidP="00030303">
            <w:pPr>
              <w:rPr>
                <w:rFonts w:asciiTheme="minorHAnsi" w:hAnsiTheme="minorHAnsi"/>
                <w:color w:val="222222"/>
                <w:sz w:val="19"/>
                <w:szCs w:val="19"/>
              </w:rPr>
            </w:pPr>
            <w:r w:rsidRPr="00D96D9D">
              <w:rPr>
                <w:rFonts w:asciiTheme="minorHAnsi" w:hAnsiTheme="minorHAnsi"/>
                <w:color w:val="222222"/>
                <w:sz w:val="19"/>
                <w:szCs w:val="19"/>
              </w:rPr>
              <w:t>6 December 1919 23 November 1920</w:t>
            </w:r>
          </w:p>
        </w:tc>
      </w:tr>
      <w:tr w:rsidR="00030303" w:rsidRPr="00DB2B77" w14:paraId="5BC43661" w14:textId="77777777" w:rsidTr="00030303">
        <w:tc>
          <w:tcPr>
            <w:tcW w:w="3759" w:type="pct"/>
            <w:tcBorders>
              <w:top w:val="single" w:sz="4" w:space="0" w:color="auto"/>
              <w:left w:val="single" w:sz="4" w:space="0" w:color="auto"/>
              <w:bottom w:val="single" w:sz="4" w:space="0" w:color="auto"/>
              <w:right w:val="nil"/>
            </w:tcBorders>
            <w:vAlign w:val="top"/>
          </w:tcPr>
          <w:p w14:paraId="215BBB1B" w14:textId="77777777" w:rsidR="00030303" w:rsidRPr="00D96D9D" w:rsidRDefault="00030303" w:rsidP="00030303">
            <w:pPr>
              <w:spacing w:after="0" w:line="240" w:lineRule="auto"/>
              <w:rPr>
                <w:rFonts w:asciiTheme="minorHAnsi" w:hAnsiTheme="minorHAnsi"/>
                <w:color w:val="222222"/>
                <w:sz w:val="19"/>
                <w:szCs w:val="19"/>
              </w:rPr>
            </w:pPr>
            <w:r w:rsidRPr="00D96D9D">
              <w:rPr>
                <w:rFonts w:asciiTheme="minorHAnsi" w:hAnsiTheme="minorHAnsi"/>
                <w:color w:val="222222"/>
                <w:sz w:val="19"/>
                <w:szCs w:val="19"/>
              </w:rPr>
              <w:t>Royal Commission on taxation</w:t>
            </w:r>
          </w:p>
        </w:tc>
        <w:tc>
          <w:tcPr>
            <w:tcW w:w="1241" w:type="pct"/>
            <w:tcBorders>
              <w:top w:val="single" w:sz="4" w:space="0" w:color="auto"/>
              <w:left w:val="nil"/>
              <w:bottom w:val="single" w:sz="4" w:space="0" w:color="auto"/>
              <w:right w:val="single" w:sz="4" w:space="0" w:color="auto"/>
            </w:tcBorders>
            <w:shd w:val="clear" w:color="auto" w:fill="D9D9D9"/>
            <w:vAlign w:val="top"/>
          </w:tcPr>
          <w:p w14:paraId="5725AF55" w14:textId="77777777" w:rsidR="00030303" w:rsidRPr="00D96D9D" w:rsidRDefault="00030303" w:rsidP="00030303">
            <w:pPr>
              <w:rPr>
                <w:rFonts w:asciiTheme="minorHAnsi" w:hAnsiTheme="minorHAnsi"/>
                <w:color w:val="222222"/>
                <w:sz w:val="19"/>
                <w:szCs w:val="19"/>
              </w:rPr>
            </w:pPr>
            <w:r w:rsidRPr="00D96D9D">
              <w:rPr>
                <w:rFonts w:asciiTheme="minorHAnsi" w:hAnsiTheme="minorHAnsi"/>
                <w:color w:val="222222"/>
                <w:sz w:val="19"/>
                <w:szCs w:val="19"/>
              </w:rPr>
              <w:t>10 September 1920–13 June 1923</w:t>
            </w:r>
          </w:p>
        </w:tc>
      </w:tr>
      <w:tr w:rsidR="00030303" w:rsidRPr="00DB2B77" w14:paraId="11A2BE77" w14:textId="77777777" w:rsidTr="00030303">
        <w:tc>
          <w:tcPr>
            <w:tcW w:w="3759" w:type="pct"/>
            <w:tcBorders>
              <w:top w:val="single" w:sz="4" w:space="0" w:color="auto"/>
              <w:left w:val="single" w:sz="4" w:space="0" w:color="auto"/>
              <w:bottom w:val="single" w:sz="4" w:space="0" w:color="auto"/>
              <w:right w:val="nil"/>
            </w:tcBorders>
            <w:vAlign w:val="top"/>
          </w:tcPr>
          <w:p w14:paraId="116713AA" w14:textId="77777777" w:rsidR="00030303" w:rsidRPr="00D96D9D" w:rsidRDefault="00030303" w:rsidP="00030303">
            <w:pPr>
              <w:spacing w:after="0" w:line="240" w:lineRule="auto"/>
              <w:rPr>
                <w:rFonts w:asciiTheme="minorHAnsi" w:eastAsia="Times New Roman" w:hAnsiTheme="minorHAnsi" w:cs="Times New Roman"/>
                <w:color w:val="222222"/>
                <w:w w:val="100"/>
                <w:kern w:val="0"/>
                <w:sz w:val="19"/>
                <w:szCs w:val="19"/>
              </w:rPr>
            </w:pPr>
            <w:r w:rsidRPr="00D96D9D">
              <w:rPr>
                <w:rFonts w:asciiTheme="minorHAnsi" w:hAnsiTheme="minorHAnsi"/>
                <w:color w:val="222222"/>
                <w:sz w:val="19"/>
                <w:szCs w:val="19"/>
              </w:rPr>
              <w:t>Royal Commission on the increase of the selling price of coal</w:t>
            </w:r>
          </w:p>
        </w:tc>
        <w:tc>
          <w:tcPr>
            <w:tcW w:w="1241" w:type="pct"/>
            <w:tcBorders>
              <w:top w:val="single" w:sz="4" w:space="0" w:color="auto"/>
              <w:left w:val="nil"/>
              <w:bottom w:val="single" w:sz="4" w:space="0" w:color="auto"/>
              <w:right w:val="single" w:sz="4" w:space="0" w:color="auto"/>
            </w:tcBorders>
            <w:shd w:val="clear" w:color="auto" w:fill="D9D9D9"/>
            <w:vAlign w:val="top"/>
          </w:tcPr>
          <w:p w14:paraId="3A6A0DDE" w14:textId="77777777" w:rsidR="00030303" w:rsidRPr="00D96D9D" w:rsidRDefault="00030303" w:rsidP="00030303">
            <w:pPr>
              <w:rPr>
                <w:rFonts w:asciiTheme="minorHAnsi" w:hAnsiTheme="minorHAnsi"/>
                <w:color w:val="222222"/>
                <w:sz w:val="19"/>
                <w:szCs w:val="19"/>
              </w:rPr>
            </w:pPr>
            <w:r w:rsidRPr="00D96D9D">
              <w:rPr>
                <w:rFonts w:asciiTheme="minorHAnsi" w:hAnsiTheme="minorHAnsi"/>
                <w:color w:val="222222"/>
                <w:sz w:val="19"/>
                <w:szCs w:val="19"/>
              </w:rPr>
              <w:t>30 September 1920–20 October 1920</w:t>
            </w:r>
          </w:p>
        </w:tc>
      </w:tr>
      <w:tr w:rsidR="00030303" w:rsidRPr="00DB2B77" w14:paraId="112B7552" w14:textId="77777777" w:rsidTr="00030303">
        <w:tc>
          <w:tcPr>
            <w:tcW w:w="3759" w:type="pct"/>
            <w:tcBorders>
              <w:top w:val="single" w:sz="4" w:space="0" w:color="auto"/>
              <w:left w:val="single" w:sz="4" w:space="0" w:color="auto"/>
              <w:bottom w:val="single" w:sz="4" w:space="0" w:color="auto"/>
              <w:right w:val="nil"/>
            </w:tcBorders>
            <w:vAlign w:val="top"/>
          </w:tcPr>
          <w:p w14:paraId="2B719347" w14:textId="77777777" w:rsidR="00030303" w:rsidRPr="00D96D9D" w:rsidRDefault="00030303" w:rsidP="00030303">
            <w:pPr>
              <w:spacing w:after="0" w:line="240" w:lineRule="auto"/>
              <w:rPr>
                <w:rFonts w:asciiTheme="minorHAnsi" w:eastAsia="Times New Roman" w:hAnsiTheme="minorHAnsi" w:cs="Times New Roman"/>
                <w:color w:val="222222"/>
                <w:w w:val="100"/>
                <w:kern w:val="0"/>
                <w:sz w:val="19"/>
                <w:szCs w:val="19"/>
              </w:rPr>
            </w:pPr>
            <w:r w:rsidRPr="00D96D9D">
              <w:rPr>
                <w:rFonts w:asciiTheme="minorHAnsi" w:hAnsiTheme="minorHAnsi"/>
                <w:color w:val="222222"/>
                <w:sz w:val="19"/>
                <w:szCs w:val="19"/>
              </w:rPr>
              <w:t>Royal Commission on the matter of uniform railway gauge</w:t>
            </w:r>
          </w:p>
        </w:tc>
        <w:tc>
          <w:tcPr>
            <w:tcW w:w="1241" w:type="pct"/>
            <w:tcBorders>
              <w:top w:val="single" w:sz="4" w:space="0" w:color="auto"/>
              <w:left w:val="nil"/>
              <w:bottom w:val="single" w:sz="4" w:space="0" w:color="auto"/>
              <w:right w:val="single" w:sz="4" w:space="0" w:color="auto"/>
            </w:tcBorders>
            <w:shd w:val="clear" w:color="auto" w:fill="D9D9D9"/>
            <w:vAlign w:val="top"/>
          </w:tcPr>
          <w:p w14:paraId="3F2BDF8A" w14:textId="77777777" w:rsidR="00030303" w:rsidRPr="00D96D9D" w:rsidRDefault="00030303" w:rsidP="00030303">
            <w:pPr>
              <w:rPr>
                <w:rFonts w:asciiTheme="minorHAnsi" w:hAnsiTheme="minorHAnsi"/>
                <w:color w:val="222222"/>
                <w:sz w:val="19"/>
                <w:szCs w:val="19"/>
              </w:rPr>
            </w:pPr>
            <w:r w:rsidRPr="00D96D9D">
              <w:rPr>
                <w:rFonts w:asciiTheme="minorHAnsi" w:hAnsiTheme="minorHAnsi"/>
                <w:color w:val="222222"/>
                <w:sz w:val="19"/>
                <w:szCs w:val="19"/>
              </w:rPr>
              <w:t>8 February–12 October 1921</w:t>
            </w:r>
          </w:p>
        </w:tc>
      </w:tr>
      <w:tr w:rsidR="00030303" w:rsidRPr="00DB2B77" w14:paraId="2EADEFDE" w14:textId="77777777" w:rsidTr="00030303">
        <w:tc>
          <w:tcPr>
            <w:tcW w:w="3759" w:type="pct"/>
            <w:tcBorders>
              <w:top w:val="single" w:sz="4" w:space="0" w:color="auto"/>
              <w:left w:val="single" w:sz="4" w:space="0" w:color="auto"/>
              <w:bottom w:val="single" w:sz="4" w:space="0" w:color="auto"/>
              <w:right w:val="nil"/>
            </w:tcBorders>
            <w:vAlign w:val="top"/>
          </w:tcPr>
          <w:p w14:paraId="4B408981" w14:textId="77777777" w:rsidR="00030303" w:rsidRPr="00D96D9D" w:rsidRDefault="00030303" w:rsidP="00030303">
            <w:pPr>
              <w:spacing w:after="0" w:line="240" w:lineRule="auto"/>
              <w:rPr>
                <w:rFonts w:asciiTheme="minorHAnsi" w:eastAsia="Times New Roman" w:hAnsiTheme="minorHAnsi" w:cs="Times New Roman"/>
                <w:color w:val="222222"/>
                <w:w w:val="100"/>
                <w:kern w:val="0"/>
                <w:sz w:val="19"/>
                <w:szCs w:val="19"/>
              </w:rPr>
            </w:pPr>
            <w:r w:rsidRPr="00D96D9D">
              <w:rPr>
                <w:rFonts w:asciiTheme="minorHAnsi" w:hAnsiTheme="minorHAnsi"/>
                <w:color w:val="222222"/>
                <w:sz w:val="19"/>
                <w:szCs w:val="19"/>
              </w:rPr>
              <w:t>Royal Commission on pillaging of ships' cargoes</w:t>
            </w:r>
          </w:p>
        </w:tc>
        <w:tc>
          <w:tcPr>
            <w:tcW w:w="1241" w:type="pct"/>
            <w:tcBorders>
              <w:top w:val="single" w:sz="4" w:space="0" w:color="auto"/>
              <w:left w:val="nil"/>
              <w:bottom w:val="single" w:sz="4" w:space="0" w:color="auto"/>
              <w:right w:val="single" w:sz="4" w:space="0" w:color="auto"/>
            </w:tcBorders>
            <w:shd w:val="clear" w:color="auto" w:fill="D9D9D9"/>
            <w:vAlign w:val="top"/>
          </w:tcPr>
          <w:p w14:paraId="05E7F4FB" w14:textId="77777777" w:rsidR="00030303" w:rsidRPr="00D96D9D" w:rsidRDefault="00030303" w:rsidP="00030303">
            <w:pPr>
              <w:rPr>
                <w:rFonts w:asciiTheme="minorHAnsi" w:hAnsiTheme="minorHAnsi"/>
                <w:color w:val="222222"/>
                <w:sz w:val="19"/>
                <w:szCs w:val="19"/>
              </w:rPr>
            </w:pPr>
            <w:r w:rsidRPr="00D96D9D">
              <w:rPr>
                <w:rFonts w:asciiTheme="minorHAnsi" w:hAnsiTheme="minorHAnsi"/>
                <w:color w:val="222222"/>
                <w:sz w:val="19"/>
                <w:szCs w:val="19"/>
              </w:rPr>
              <w:t>12 February–12 July 1921</w:t>
            </w:r>
          </w:p>
        </w:tc>
      </w:tr>
      <w:tr w:rsidR="00030303" w:rsidRPr="00DB2B77" w14:paraId="66EDFDEC" w14:textId="77777777" w:rsidTr="00030303">
        <w:tc>
          <w:tcPr>
            <w:tcW w:w="3759" w:type="pct"/>
            <w:tcBorders>
              <w:top w:val="single" w:sz="4" w:space="0" w:color="auto"/>
              <w:left w:val="single" w:sz="4" w:space="0" w:color="auto"/>
              <w:bottom w:val="single" w:sz="4" w:space="0" w:color="auto"/>
              <w:right w:val="nil"/>
            </w:tcBorders>
            <w:vAlign w:val="top"/>
          </w:tcPr>
          <w:p w14:paraId="61D7D157" w14:textId="77777777" w:rsidR="00030303" w:rsidRPr="00D96D9D" w:rsidRDefault="00030303" w:rsidP="00030303">
            <w:pPr>
              <w:spacing w:after="0" w:line="240" w:lineRule="auto"/>
              <w:rPr>
                <w:rFonts w:asciiTheme="minorHAnsi" w:eastAsia="Times New Roman" w:hAnsiTheme="minorHAnsi" w:cs="Times New Roman"/>
                <w:color w:val="222222"/>
                <w:w w:val="100"/>
                <w:kern w:val="0"/>
                <w:sz w:val="19"/>
                <w:szCs w:val="19"/>
              </w:rPr>
            </w:pPr>
            <w:r w:rsidRPr="00D96D9D">
              <w:rPr>
                <w:rFonts w:asciiTheme="minorHAnsi" w:hAnsiTheme="minorHAnsi"/>
                <w:color w:val="222222"/>
                <w:sz w:val="19"/>
                <w:szCs w:val="19"/>
              </w:rPr>
              <w:t>Royal Commission on Cockatoo Island Dockyard</w:t>
            </w:r>
          </w:p>
        </w:tc>
        <w:tc>
          <w:tcPr>
            <w:tcW w:w="1241" w:type="pct"/>
            <w:tcBorders>
              <w:top w:val="single" w:sz="4" w:space="0" w:color="auto"/>
              <w:left w:val="nil"/>
              <w:bottom w:val="single" w:sz="4" w:space="0" w:color="auto"/>
              <w:right w:val="single" w:sz="4" w:space="0" w:color="auto"/>
            </w:tcBorders>
            <w:shd w:val="clear" w:color="auto" w:fill="D9D9D9"/>
            <w:vAlign w:val="top"/>
          </w:tcPr>
          <w:p w14:paraId="2F86F190" w14:textId="77777777" w:rsidR="00030303" w:rsidRPr="00D96D9D" w:rsidRDefault="00030303" w:rsidP="00030303">
            <w:pPr>
              <w:rPr>
                <w:rFonts w:asciiTheme="minorHAnsi" w:hAnsiTheme="minorHAnsi"/>
                <w:color w:val="222222"/>
                <w:sz w:val="19"/>
                <w:szCs w:val="19"/>
              </w:rPr>
            </w:pPr>
            <w:r w:rsidRPr="00D96D9D">
              <w:rPr>
                <w:rFonts w:asciiTheme="minorHAnsi" w:hAnsiTheme="minorHAnsi"/>
                <w:color w:val="222222"/>
                <w:sz w:val="19"/>
                <w:szCs w:val="19"/>
              </w:rPr>
              <w:t>25 April–14 July 1921</w:t>
            </w:r>
          </w:p>
        </w:tc>
      </w:tr>
      <w:tr w:rsidR="00030303" w:rsidRPr="00DB2B77" w14:paraId="143632DE" w14:textId="77777777" w:rsidTr="00030303">
        <w:tc>
          <w:tcPr>
            <w:tcW w:w="3759" w:type="pct"/>
            <w:tcBorders>
              <w:top w:val="single" w:sz="4" w:space="0" w:color="auto"/>
              <w:left w:val="single" w:sz="4" w:space="0" w:color="auto"/>
              <w:bottom w:val="single" w:sz="4" w:space="0" w:color="auto"/>
              <w:right w:val="nil"/>
            </w:tcBorders>
            <w:vAlign w:val="top"/>
          </w:tcPr>
          <w:p w14:paraId="5333340E" w14:textId="77777777" w:rsidR="00030303" w:rsidRPr="00D96D9D" w:rsidRDefault="00030303" w:rsidP="00030303">
            <w:pPr>
              <w:spacing w:after="0" w:line="240" w:lineRule="auto"/>
              <w:rPr>
                <w:rFonts w:asciiTheme="minorHAnsi" w:eastAsia="Times New Roman" w:hAnsiTheme="minorHAnsi" w:cs="Times New Roman"/>
                <w:color w:val="222222"/>
                <w:w w:val="100"/>
                <w:kern w:val="0"/>
                <w:sz w:val="19"/>
                <w:szCs w:val="19"/>
              </w:rPr>
            </w:pPr>
            <w:r w:rsidRPr="00D96D9D">
              <w:rPr>
                <w:rFonts w:asciiTheme="minorHAnsi" w:hAnsiTheme="minorHAnsi"/>
                <w:color w:val="222222"/>
                <w:sz w:val="19"/>
                <w:szCs w:val="19"/>
              </w:rPr>
              <w:lastRenderedPageBreak/>
              <w:t>Royal Commission upon the loyalty to the British Crown of German Nationals resident in Australia whose property is liable to a charge created by the Treaty of Peace Regulations made under the Treaty of Peace (Germany) Act 1919–1920</w:t>
            </w:r>
          </w:p>
        </w:tc>
        <w:tc>
          <w:tcPr>
            <w:tcW w:w="1241" w:type="pct"/>
            <w:tcBorders>
              <w:top w:val="single" w:sz="4" w:space="0" w:color="auto"/>
              <w:left w:val="nil"/>
              <w:bottom w:val="single" w:sz="4" w:space="0" w:color="auto"/>
              <w:right w:val="single" w:sz="4" w:space="0" w:color="auto"/>
            </w:tcBorders>
            <w:shd w:val="clear" w:color="auto" w:fill="D9D9D9"/>
            <w:vAlign w:val="top"/>
          </w:tcPr>
          <w:p w14:paraId="6E60D772" w14:textId="77777777" w:rsidR="00030303" w:rsidRPr="00D96D9D" w:rsidRDefault="00030303" w:rsidP="00030303">
            <w:pPr>
              <w:rPr>
                <w:rFonts w:asciiTheme="minorHAnsi" w:hAnsiTheme="minorHAnsi"/>
                <w:color w:val="222222"/>
                <w:sz w:val="19"/>
                <w:szCs w:val="19"/>
              </w:rPr>
            </w:pPr>
            <w:r w:rsidRPr="00D96D9D">
              <w:rPr>
                <w:rFonts w:asciiTheme="minorHAnsi" w:hAnsiTheme="minorHAnsi"/>
                <w:color w:val="222222"/>
                <w:sz w:val="19"/>
                <w:szCs w:val="19"/>
              </w:rPr>
              <w:t>7 July 1921–11 November 1921</w:t>
            </w:r>
          </w:p>
        </w:tc>
      </w:tr>
      <w:tr w:rsidR="00030303" w:rsidRPr="00DB2B77" w14:paraId="5CA96EA9" w14:textId="77777777" w:rsidTr="00030303">
        <w:tc>
          <w:tcPr>
            <w:tcW w:w="3759" w:type="pct"/>
            <w:tcBorders>
              <w:top w:val="single" w:sz="4" w:space="0" w:color="auto"/>
              <w:left w:val="single" w:sz="4" w:space="0" w:color="auto"/>
              <w:bottom w:val="single" w:sz="4" w:space="0" w:color="auto"/>
              <w:right w:val="nil"/>
            </w:tcBorders>
            <w:vAlign w:val="top"/>
          </w:tcPr>
          <w:p w14:paraId="7E4A2B43" w14:textId="77777777" w:rsidR="00030303" w:rsidRPr="00D96D9D" w:rsidRDefault="00030303" w:rsidP="00030303">
            <w:pPr>
              <w:spacing w:after="0" w:line="240" w:lineRule="auto"/>
              <w:rPr>
                <w:rFonts w:asciiTheme="minorHAnsi" w:eastAsia="Times New Roman" w:hAnsiTheme="minorHAnsi" w:cs="Times New Roman"/>
                <w:color w:val="222222"/>
                <w:w w:val="100"/>
                <w:kern w:val="0"/>
                <w:sz w:val="19"/>
                <w:szCs w:val="19"/>
              </w:rPr>
            </w:pPr>
            <w:r w:rsidRPr="00D96D9D">
              <w:rPr>
                <w:rFonts w:asciiTheme="minorHAnsi" w:hAnsiTheme="minorHAnsi"/>
                <w:color w:val="222222"/>
                <w:sz w:val="19"/>
                <w:szCs w:val="19"/>
              </w:rPr>
              <w:t>Royal Commission on the circumstances attending the supposed loss at sea of the steamship "Sumatra"</w:t>
            </w:r>
          </w:p>
        </w:tc>
        <w:tc>
          <w:tcPr>
            <w:tcW w:w="1241" w:type="pct"/>
            <w:tcBorders>
              <w:top w:val="single" w:sz="4" w:space="0" w:color="auto"/>
              <w:left w:val="nil"/>
              <w:bottom w:val="single" w:sz="4" w:space="0" w:color="auto"/>
              <w:right w:val="single" w:sz="4" w:space="0" w:color="auto"/>
            </w:tcBorders>
            <w:shd w:val="clear" w:color="auto" w:fill="D9D9D9"/>
            <w:vAlign w:val="top"/>
          </w:tcPr>
          <w:p w14:paraId="7E6AA784" w14:textId="77777777" w:rsidR="00030303" w:rsidRPr="00D96D9D" w:rsidRDefault="00030303" w:rsidP="00030303">
            <w:pPr>
              <w:rPr>
                <w:rFonts w:asciiTheme="minorHAnsi" w:hAnsiTheme="minorHAnsi"/>
                <w:color w:val="222222"/>
                <w:sz w:val="19"/>
                <w:szCs w:val="19"/>
              </w:rPr>
            </w:pPr>
            <w:r w:rsidRPr="00D96D9D">
              <w:rPr>
                <w:rFonts w:asciiTheme="minorHAnsi" w:hAnsiTheme="minorHAnsi"/>
                <w:color w:val="222222"/>
                <w:sz w:val="19"/>
                <w:szCs w:val="19"/>
              </w:rPr>
              <w:t>25 July–3 August 1923</w:t>
            </w:r>
          </w:p>
        </w:tc>
      </w:tr>
      <w:tr w:rsidR="00030303" w:rsidRPr="00DB2B77" w14:paraId="79CF5941" w14:textId="77777777" w:rsidTr="00030303">
        <w:tc>
          <w:tcPr>
            <w:tcW w:w="3759" w:type="pct"/>
            <w:tcBorders>
              <w:top w:val="single" w:sz="4" w:space="0" w:color="auto"/>
              <w:left w:val="single" w:sz="4" w:space="0" w:color="auto"/>
              <w:bottom w:val="single" w:sz="4" w:space="0" w:color="auto"/>
              <w:right w:val="nil"/>
            </w:tcBorders>
            <w:vAlign w:val="top"/>
          </w:tcPr>
          <w:p w14:paraId="6B071F09" w14:textId="77777777" w:rsidR="00030303" w:rsidRPr="00D96D9D" w:rsidRDefault="00030303" w:rsidP="00030303">
            <w:pPr>
              <w:spacing w:after="0" w:line="240" w:lineRule="auto"/>
              <w:rPr>
                <w:rFonts w:asciiTheme="minorHAnsi" w:eastAsia="Times New Roman" w:hAnsiTheme="minorHAnsi" w:cs="Times New Roman"/>
                <w:color w:val="222222"/>
                <w:w w:val="100"/>
                <w:kern w:val="0"/>
                <w:sz w:val="19"/>
                <w:szCs w:val="19"/>
              </w:rPr>
            </w:pPr>
            <w:r w:rsidRPr="00D96D9D">
              <w:rPr>
                <w:rFonts w:asciiTheme="minorHAnsi" w:hAnsiTheme="minorHAnsi"/>
                <w:color w:val="222222"/>
                <w:sz w:val="19"/>
                <w:szCs w:val="19"/>
              </w:rPr>
              <w:t>Royal Commission in connection with sugar purchases by the Commonwealth through Mr. W. E. Davies in September and October, 1920</w:t>
            </w:r>
          </w:p>
        </w:tc>
        <w:tc>
          <w:tcPr>
            <w:tcW w:w="1241" w:type="pct"/>
            <w:tcBorders>
              <w:top w:val="single" w:sz="4" w:space="0" w:color="auto"/>
              <w:left w:val="nil"/>
              <w:bottom w:val="single" w:sz="4" w:space="0" w:color="auto"/>
              <w:right w:val="single" w:sz="4" w:space="0" w:color="auto"/>
            </w:tcBorders>
            <w:shd w:val="clear" w:color="auto" w:fill="D9D9D9"/>
            <w:vAlign w:val="top"/>
          </w:tcPr>
          <w:p w14:paraId="0B3E8DB7" w14:textId="77777777" w:rsidR="00030303" w:rsidRPr="00D96D9D" w:rsidRDefault="00030303" w:rsidP="00030303">
            <w:pPr>
              <w:rPr>
                <w:rFonts w:asciiTheme="minorHAnsi" w:hAnsiTheme="minorHAnsi"/>
                <w:color w:val="222222"/>
                <w:sz w:val="19"/>
                <w:szCs w:val="19"/>
              </w:rPr>
            </w:pPr>
            <w:r w:rsidRPr="00D96D9D">
              <w:rPr>
                <w:rFonts w:asciiTheme="minorHAnsi" w:hAnsiTheme="minorHAnsi"/>
                <w:color w:val="222222"/>
                <w:sz w:val="19"/>
                <w:szCs w:val="19"/>
              </w:rPr>
              <w:t>24 August 1923–27 March 1924</w:t>
            </w:r>
          </w:p>
        </w:tc>
      </w:tr>
      <w:tr w:rsidR="00030303" w:rsidRPr="00DB2B77" w14:paraId="0FDF60F1" w14:textId="77777777" w:rsidTr="00030303">
        <w:tc>
          <w:tcPr>
            <w:tcW w:w="3759" w:type="pct"/>
            <w:tcBorders>
              <w:top w:val="single" w:sz="4" w:space="0" w:color="auto"/>
              <w:left w:val="single" w:sz="4" w:space="0" w:color="auto"/>
              <w:bottom w:val="single" w:sz="4" w:space="0" w:color="auto"/>
              <w:right w:val="nil"/>
            </w:tcBorders>
            <w:vAlign w:val="top"/>
          </w:tcPr>
          <w:p w14:paraId="22A00029" w14:textId="77777777" w:rsidR="00030303" w:rsidRPr="00D96D9D" w:rsidRDefault="00030303" w:rsidP="00030303">
            <w:pPr>
              <w:spacing w:after="0" w:line="240" w:lineRule="auto"/>
              <w:rPr>
                <w:rFonts w:asciiTheme="minorHAnsi" w:eastAsia="Times New Roman" w:hAnsiTheme="minorHAnsi" w:cs="Times New Roman"/>
                <w:color w:val="222222"/>
                <w:w w:val="100"/>
                <w:kern w:val="0"/>
                <w:sz w:val="19"/>
                <w:szCs w:val="19"/>
              </w:rPr>
            </w:pPr>
            <w:r w:rsidRPr="00D96D9D">
              <w:rPr>
                <w:rFonts w:asciiTheme="minorHAnsi" w:hAnsiTheme="minorHAnsi"/>
                <w:color w:val="222222"/>
                <w:sz w:val="19"/>
                <w:szCs w:val="19"/>
              </w:rPr>
              <w:t>Royal Commission in connection with joinery supplied to the War Service Homes Commissioner in March, 1920</w:t>
            </w:r>
          </w:p>
        </w:tc>
        <w:tc>
          <w:tcPr>
            <w:tcW w:w="1241" w:type="pct"/>
            <w:tcBorders>
              <w:top w:val="single" w:sz="4" w:space="0" w:color="auto"/>
              <w:left w:val="nil"/>
              <w:bottom w:val="single" w:sz="4" w:space="0" w:color="auto"/>
              <w:right w:val="single" w:sz="4" w:space="0" w:color="auto"/>
            </w:tcBorders>
            <w:shd w:val="clear" w:color="auto" w:fill="D9D9D9"/>
            <w:vAlign w:val="top"/>
          </w:tcPr>
          <w:p w14:paraId="6F32EDF2" w14:textId="77777777" w:rsidR="00030303" w:rsidRPr="00D96D9D" w:rsidRDefault="00030303" w:rsidP="00030303">
            <w:pPr>
              <w:rPr>
                <w:rFonts w:asciiTheme="minorHAnsi" w:hAnsiTheme="minorHAnsi"/>
                <w:color w:val="222222"/>
                <w:sz w:val="19"/>
                <w:szCs w:val="19"/>
              </w:rPr>
            </w:pPr>
            <w:r w:rsidRPr="00D96D9D">
              <w:rPr>
                <w:rFonts w:asciiTheme="minorHAnsi" w:hAnsiTheme="minorHAnsi"/>
                <w:color w:val="222222"/>
                <w:sz w:val="19"/>
                <w:szCs w:val="19"/>
              </w:rPr>
              <w:t>7 September 1923–27 March 1924</w:t>
            </w:r>
          </w:p>
        </w:tc>
      </w:tr>
      <w:tr w:rsidR="00030303" w:rsidRPr="00DB2B77" w14:paraId="52C44B4F" w14:textId="77777777" w:rsidTr="00030303">
        <w:tc>
          <w:tcPr>
            <w:tcW w:w="3759" w:type="pct"/>
            <w:tcBorders>
              <w:top w:val="single" w:sz="4" w:space="0" w:color="auto"/>
              <w:left w:val="single" w:sz="4" w:space="0" w:color="auto"/>
              <w:bottom w:val="single" w:sz="4" w:space="0" w:color="auto"/>
              <w:right w:val="nil"/>
            </w:tcBorders>
            <w:vAlign w:val="top"/>
          </w:tcPr>
          <w:p w14:paraId="0796B321" w14:textId="77777777" w:rsidR="00030303" w:rsidRPr="00D96D9D" w:rsidRDefault="00030303" w:rsidP="00030303">
            <w:pPr>
              <w:spacing w:after="0" w:line="240" w:lineRule="auto"/>
              <w:rPr>
                <w:rFonts w:asciiTheme="minorHAnsi" w:eastAsia="Times New Roman" w:hAnsiTheme="minorHAnsi" w:cs="Times New Roman"/>
                <w:color w:val="222222"/>
                <w:w w:val="100"/>
                <w:kern w:val="0"/>
                <w:sz w:val="19"/>
                <w:szCs w:val="19"/>
              </w:rPr>
            </w:pPr>
            <w:r w:rsidRPr="00D96D9D">
              <w:rPr>
                <w:rFonts w:asciiTheme="minorHAnsi" w:hAnsiTheme="minorHAnsi"/>
                <w:color w:val="222222"/>
                <w:sz w:val="19"/>
                <w:szCs w:val="19"/>
              </w:rPr>
              <w:t>Royal Commission on the Navigation Act</w:t>
            </w:r>
          </w:p>
        </w:tc>
        <w:tc>
          <w:tcPr>
            <w:tcW w:w="1241" w:type="pct"/>
            <w:tcBorders>
              <w:top w:val="single" w:sz="4" w:space="0" w:color="auto"/>
              <w:left w:val="nil"/>
              <w:bottom w:val="single" w:sz="4" w:space="0" w:color="auto"/>
              <w:right w:val="single" w:sz="4" w:space="0" w:color="auto"/>
            </w:tcBorders>
            <w:shd w:val="clear" w:color="auto" w:fill="D9D9D9"/>
            <w:vAlign w:val="top"/>
          </w:tcPr>
          <w:p w14:paraId="3B62A798" w14:textId="77777777" w:rsidR="00030303" w:rsidRPr="00D96D9D" w:rsidRDefault="00030303" w:rsidP="00030303">
            <w:pPr>
              <w:rPr>
                <w:rFonts w:asciiTheme="minorHAnsi" w:hAnsiTheme="minorHAnsi"/>
                <w:color w:val="222222"/>
                <w:sz w:val="19"/>
                <w:szCs w:val="19"/>
              </w:rPr>
            </w:pPr>
            <w:r w:rsidRPr="00D96D9D">
              <w:rPr>
                <w:rFonts w:asciiTheme="minorHAnsi" w:hAnsiTheme="minorHAnsi"/>
                <w:color w:val="222222"/>
                <w:sz w:val="19"/>
                <w:szCs w:val="19"/>
              </w:rPr>
              <w:t>7 September 1923–13 August 1925</w:t>
            </w:r>
          </w:p>
        </w:tc>
      </w:tr>
      <w:tr w:rsidR="00030303" w:rsidRPr="00DB2B77" w14:paraId="12D04DDE" w14:textId="77777777" w:rsidTr="00030303">
        <w:tc>
          <w:tcPr>
            <w:tcW w:w="3759" w:type="pct"/>
            <w:tcBorders>
              <w:top w:val="single" w:sz="4" w:space="0" w:color="auto"/>
              <w:left w:val="single" w:sz="4" w:space="0" w:color="auto"/>
              <w:bottom w:val="single" w:sz="4" w:space="0" w:color="auto"/>
              <w:right w:val="nil"/>
            </w:tcBorders>
            <w:vAlign w:val="top"/>
          </w:tcPr>
          <w:p w14:paraId="4F89EE6A" w14:textId="77777777" w:rsidR="00030303" w:rsidRPr="00D96D9D" w:rsidRDefault="00030303" w:rsidP="00030303">
            <w:pPr>
              <w:spacing w:after="0" w:line="240" w:lineRule="auto"/>
              <w:rPr>
                <w:rFonts w:asciiTheme="minorHAnsi" w:eastAsia="Times New Roman" w:hAnsiTheme="minorHAnsi" w:cs="Times New Roman"/>
                <w:color w:val="222222"/>
                <w:w w:val="100"/>
                <w:kern w:val="0"/>
                <w:sz w:val="19"/>
                <w:szCs w:val="19"/>
              </w:rPr>
            </w:pPr>
            <w:r w:rsidRPr="00D96D9D">
              <w:rPr>
                <w:rFonts w:asciiTheme="minorHAnsi" w:hAnsiTheme="minorHAnsi"/>
                <w:color w:val="222222"/>
                <w:sz w:val="19"/>
                <w:szCs w:val="19"/>
              </w:rPr>
              <w:t>Royal Commission on national insurance</w:t>
            </w:r>
          </w:p>
        </w:tc>
        <w:tc>
          <w:tcPr>
            <w:tcW w:w="1241" w:type="pct"/>
            <w:tcBorders>
              <w:top w:val="single" w:sz="4" w:space="0" w:color="auto"/>
              <w:left w:val="nil"/>
              <w:bottom w:val="single" w:sz="4" w:space="0" w:color="auto"/>
              <w:right w:val="single" w:sz="4" w:space="0" w:color="auto"/>
            </w:tcBorders>
            <w:shd w:val="clear" w:color="auto" w:fill="D9D9D9"/>
            <w:vAlign w:val="top"/>
          </w:tcPr>
          <w:p w14:paraId="798C34BE" w14:textId="77777777" w:rsidR="00030303" w:rsidRPr="00D96D9D" w:rsidRDefault="00030303" w:rsidP="00030303">
            <w:pPr>
              <w:rPr>
                <w:rFonts w:asciiTheme="minorHAnsi" w:hAnsiTheme="minorHAnsi"/>
                <w:color w:val="222222"/>
                <w:sz w:val="19"/>
                <w:szCs w:val="19"/>
              </w:rPr>
            </w:pPr>
            <w:r w:rsidRPr="00D96D9D">
              <w:rPr>
                <w:rFonts w:asciiTheme="minorHAnsi" w:hAnsiTheme="minorHAnsi"/>
                <w:color w:val="222222"/>
                <w:sz w:val="19"/>
                <w:szCs w:val="19"/>
              </w:rPr>
              <w:t>7 September 1923–5 October 1927</w:t>
            </w:r>
          </w:p>
        </w:tc>
      </w:tr>
      <w:tr w:rsidR="00030303" w:rsidRPr="00DB2B77" w14:paraId="4452F7F2" w14:textId="77777777" w:rsidTr="00030303">
        <w:tc>
          <w:tcPr>
            <w:tcW w:w="3759" w:type="pct"/>
            <w:tcBorders>
              <w:top w:val="single" w:sz="4" w:space="0" w:color="auto"/>
              <w:left w:val="single" w:sz="4" w:space="0" w:color="auto"/>
              <w:bottom w:val="single" w:sz="4" w:space="0" w:color="auto"/>
              <w:right w:val="nil"/>
            </w:tcBorders>
            <w:vAlign w:val="top"/>
          </w:tcPr>
          <w:p w14:paraId="5C480667" w14:textId="77777777" w:rsidR="00030303" w:rsidRPr="00D96D9D" w:rsidRDefault="00030303" w:rsidP="00030303">
            <w:pPr>
              <w:spacing w:after="0" w:line="240" w:lineRule="auto"/>
              <w:rPr>
                <w:rFonts w:asciiTheme="minorHAnsi" w:eastAsia="Times New Roman" w:hAnsiTheme="minorHAnsi" w:cs="Times New Roman"/>
                <w:color w:val="222222"/>
                <w:w w:val="100"/>
                <w:kern w:val="0"/>
                <w:sz w:val="19"/>
                <w:szCs w:val="19"/>
              </w:rPr>
            </w:pPr>
            <w:r w:rsidRPr="00D96D9D">
              <w:rPr>
                <w:rFonts w:asciiTheme="minorHAnsi" w:hAnsiTheme="minorHAnsi"/>
                <w:color w:val="222222"/>
                <w:sz w:val="19"/>
                <w:szCs w:val="19"/>
              </w:rPr>
              <w:t>Royal Commission on the method for determining the unimproved value of land held under Crown leases</w:t>
            </w:r>
          </w:p>
        </w:tc>
        <w:tc>
          <w:tcPr>
            <w:tcW w:w="1241" w:type="pct"/>
            <w:tcBorders>
              <w:top w:val="single" w:sz="4" w:space="0" w:color="auto"/>
              <w:left w:val="nil"/>
              <w:bottom w:val="single" w:sz="4" w:space="0" w:color="auto"/>
              <w:right w:val="single" w:sz="4" w:space="0" w:color="auto"/>
            </w:tcBorders>
            <w:shd w:val="clear" w:color="auto" w:fill="D9D9D9"/>
            <w:vAlign w:val="top"/>
          </w:tcPr>
          <w:p w14:paraId="522A8591" w14:textId="77777777" w:rsidR="00030303" w:rsidRPr="00D96D9D" w:rsidRDefault="00030303" w:rsidP="00030303">
            <w:pPr>
              <w:rPr>
                <w:rFonts w:asciiTheme="minorHAnsi" w:hAnsiTheme="minorHAnsi"/>
                <w:color w:val="222222"/>
                <w:sz w:val="19"/>
                <w:szCs w:val="19"/>
              </w:rPr>
            </w:pPr>
            <w:r w:rsidRPr="00D96D9D">
              <w:rPr>
                <w:rFonts w:asciiTheme="minorHAnsi" w:hAnsiTheme="minorHAnsi"/>
                <w:color w:val="222222"/>
                <w:sz w:val="19"/>
                <w:szCs w:val="19"/>
              </w:rPr>
              <w:t>12 July 1924–10 June 1925</w:t>
            </w:r>
          </w:p>
        </w:tc>
      </w:tr>
      <w:tr w:rsidR="00030303" w:rsidRPr="00DB2B77" w14:paraId="763BE90E" w14:textId="77777777" w:rsidTr="00030303">
        <w:tc>
          <w:tcPr>
            <w:tcW w:w="3759" w:type="pct"/>
            <w:tcBorders>
              <w:top w:val="single" w:sz="4" w:space="0" w:color="auto"/>
              <w:left w:val="single" w:sz="4" w:space="0" w:color="auto"/>
              <w:bottom w:val="single" w:sz="4" w:space="0" w:color="auto"/>
              <w:right w:val="nil"/>
            </w:tcBorders>
            <w:vAlign w:val="top"/>
          </w:tcPr>
          <w:p w14:paraId="3DFEEAD0" w14:textId="77777777" w:rsidR="00030303" w:rsidRPr="00D96D9D" w:rsidRDefault="00030303" w:rsidP="00030303">
            <w:pPr>
              <w:spacing w:after="0" w:line="240" w:lineRule="auto"/>
              <w:rPr>
                <w:rFonts w:asciiTheme="minorHAnsi" w:eastAsia="Times New Roman" w:hAnsiTheme="minorHAnsi" w:cs="Times New Roman"/>
                <w:color w:val="222222"/>
                <w:w w:val="100"/>
                <w:kern w:val="0"/>
                <w:sz w:val="19"/>
                <w:szCs w:val="19"/>
              </w:rPr>
            </w:pPr>
            <w:r w:rsidRPr="00D96D9D">
              <w:rPr>
                <w:rFonts w:asciiTheme="minorHAnsi" w:hAnsiTheme="minorHAnsi"/>
                <w:color w:val="222222"/>
                <w:sz w:val="19"/>
                <w:szCs w:val="19"/>
              </w:rPr>
              <w:t>Royal Commission on the assessment of war service disabilities</w:t>
            </w:r>
          </w:p>
        </w:tc>
        <w:tc>
          <w:tcPr>
            <w:tcW w:w="1241" w:type="pct"/>
            <w:tcBorders>
              <w:top w:val="single" w:sz="4" w:space="0" w:color="auto"/>
              <w:left w:val="nil"/>
              <w:bottom w:val="single" w:sz="4" w:space="0" w:color="auto"/>
              <w:right w:val="single" w:sz="4" w:space="0" w:color="auto"/>
            </w:tcBorders>
            <w:shd w:val="clear" w:color="auto" w:fill="D9D9D9"/>
            <w:vAlign w:val="top"/>
          </w:tcPr>
          <w:p w14:paraId="7782F69D" w14:textId="77777777" w:rsidR="00030303" w:rsidRPr="00D96D9D" w:rsidRDefault="00030303" w:rsidP="00030303">
            <w:pPr>
              <w:rPr>
                <w:rFonts w:asciiTheme="minorHAnsi" w:hAnsiTheme="minorHAnsi"/>
                <w:color w:val="222222"/>
                <w:sz w:val="19"/>
                <w:szCs w:val="19"/>
              </w:rPr>
            </w:pPr>
            <w:r w:rsidRPr="00D96D9D">
              <w:rPr>
                <w:rFonts w:asciiTheme="minorHAnsi" w:hAnsiTheme="minorHAnsi"/>
                <w:color w:val="222222"/>
                <w:sz w:val="19"/>
                <w:szCs w:val="19"/>
              </w:rPr>
              <w:t>27 August 1924–10 June 1925</w:t>
            </w:r>
          </w:p>
        </w:tc>
      </w:tr>
      <w:tr w:rsidR="00030303" w:rsidRPr="00DB2B77" w14:paraId="427B0BDC" w14:textId="77777777" w:rsidTr="00030303">
        <w:tc>
          <w:tcPr>
            <w:tcW w:w="3759" w:type="pct"/>
            <w:tcBorders>
              <w:top w:val="single" w:sz="4" w:space="0" w:color="auto"/>
              <w:left w:val="single" w:sz="4" w:space="0" w:color="auto"/>
              <w:bottom w:val="single" w:sz="4" w:space="0" w:color="auto"/>
              <w:right w:val="nil"/>
            </w:tcBorders>
            <w:vAlign w:val="top"/>
          </w:tcPr>
          <w:p w14:paraId="7368C062" w14:textId="77777777" w:rsidR="00030303" w:rsidRPr="00D96D9D" w:rsidRDefault="00030303" w:rsidP="00030303">
            <w:pPr>
              <w:spacing w:after="0" w:line="240" w:lineRule="auto"/>
              <w:rPr>
                <w:rFonts w:asciiTheme="minorHAnsi" w:eastAsia="Times New Roman" w:hAnsiTheme="minorHAnsi" w:cs="Times New Roman"/>
                <w:color w:val="222222"/>
                <w:w w:val="100"/>
                <w:kern w:val="0"/>
                <w:sz w:val="19"/>
                <w:szCs w:val="19"/>
              </w:rPr>
            </w:pPr>
            <w:r w:rsidRPr="00D96D9D">
              <w:rPr>
                <w:rFonts w:asciiTheme="minorHAnsi" w:hAnsiTheme="minorHAnsi"/>
                <w:color w:val="222222"/>
                <w:sz w:val="19"/>
                <w:szCs w:val="19"/>
              </w:rPr>
              <w:t>Royal Commission to inquire into extracts from the reports in Parliamentary Debates of speeches made by Mr. Scullin in the House of Representatives on 7th and 19th August, 1924, in relation to land tax matters</w:t>
            </w:r>
          </w:p>
        </w:tc>
        <w:tc>
          <w:tcPr>
            <w:tcW w:w="1241" w:type="pct"/>
            <w:tcBorders>
              <w:top w:val="single" w:sz="4" w:space="0" w:color="auto"/>
              <w:left w:val="nil"/>
              <w:bottom w:val="single" w:sz="4" w:space="0" w:color="auto"/>
              <w:right w:val="single" w:sz="4" w:space="0" w:color="auto"/>
            </w:tcBorders>
            <w:shd w:val="clear" w:color="auto" w:fill="D9D9D9"/>
            <w:vAlign w:val="top"/>
          </w:tcPr>
          <w:p w14:paraId="14A96B03" w14:textId="77777777" w:rsidR="00030303" w:rsidRPr="00D96D9D" w:rsidRDefault="00030303" w:rsidP="00030303">
            <w:pPr>
              <w:rPr>
                <w:rFonts w:asciiTheme="minorHAnsi" w:hAnsiTheme="minorHAnsi"/>
                <w:color w:val="222222"/>
                <w:sz w:val="19"/>
                <w:szCs w:val="19"/>
              </w:rPr>
            </w:pPr>
            <w:r w:rsidRPr="00D96D9D">
              <w:rPr>
                <w:rFonts w:asciiTheme="minorHAnsi" w:hAnsiTheme="minorHAnsi"/>
                <w:color w:val="222222"/>
                <w:sz w:val="19"/>
                <w:szCs w:val="19"/>
              </w:rPr>
              <w:t>9 September 1924–10 June 1925</w:t>
            </w:r>
          </w:p>
        </w:tc>
      </w:tr>
      <w:tr w:rsidR="00030303" w:rsidRPr="00DB2B77" w14:paraId="367AF077" w14:textId="77777777" w:rsidTr="00030303">
        <w:tc>
          <w:tcPr>
            <w:tcW w:w="3759" w:type="pct"/>
            <w:tcBorders>
              <w:top w:val="single" w:sz="4" w:space="0" w:color="auto"/>
              <w:left w:val="single" w:sz="4" w:space="0" w:color="auto"/>
              <w:bottom w:val="single" w:sz="4" w:space="0" w:color="auto"/>
              <w:right w:val="nil"/>
            </w:tcBorders>
            <w:vAlign w:val="top"/>
          </w:tcPr>
          <w:p w14:paraId="0582D27D" w14:textId="77777777" w:rsidR="00030303" w:rsidRPr="00D96D9D" w:rsidRDefault="00030303" w:rsidP="00030303">
            <w:pPr>
              <w:spacing w:after="0" w:line="240" w:lineRule="auto"/>
              <w:rPr>
                <w:rFonts w:asciiTheme="minorHAnsi" w:eastAsia="Times New Roman" w:hAnsiTheme="minorHAnsi" w:cs="Times New Roman"/>
                <w:color w:val="222222"/>
                <w:w w:val="100"/>
                <w:kern w:val="0"/>
                <w:sz w:val="19"/>
                <w:szCs w:val="19"/>
              </w:rPr>
            </w:pPr>
            <w:r w:rsidRPr="00D96D9D">
              <w:rPr>
                <w:rFonts w:asciiTheme="minorHAnsi" w:hAnsiTheme="minorHAnsi"/>
                <w:color w:val="222222"/>
                <w:sz w:val="19"/>
                <w:szCs w:val="19"/>
              </w:rPr>
              <w:t>Royal Commission on the finances of Western Australia, as affected by Federation</w:t>
            </w:r>
          </w:p>
        </w:tc>
        <w:tc>
          <w:tcPr>
            <w:tcW w:w="1241" w:type="pct"/>
            <w:tcBorders>
              <w:top w:val="single" w:sz="4" w:space="0" w:color="auto"/>
              <w:left w:val="nil"/>
              <w:bottom w:val="single" w:sz="4" w:space="0" w:color="auto"/>
              <w:right w:val="single" w:sz="4" w:space="0" w:color="auto"/>
            </w:tcBorders>
            <w:shd w:val="clear" w:color="auto" w:fill="D9D9D9"/>
            <w:vAlign w:val="top"/>
          </w:tcPr>
          <w:p w14:paraId="06D1B78A" w14:textId="77777777" w:rsidR="00030303" w:rsidRPr="00D96D9D" w:rsidRDefault="00030303" w:rsidP="00030303">
            <w:pPr>
              <w:rPr>
                <w:rFonts w:asciiTheme="minorHAnsi" w:hAnsiTheme="minorHAnsi"/>
                <w:color w:val="222222"/>
                <w:sz w:val="19"/>
                <w:szCs w:val="19"/>
              </w:rPr>
            </w:pPr>
            <w:r w:rsidRPr="00D96D9D">
              <w:rPr>
                <w:rFonts w:asciiTheme="minorHAnsi" w:hAnsiTheme="minorHAnsi"/>
                <w:color w:val="222222"/>
                <w:sz w:val="19"/>
                <w:szCs w:val="19"/>
              </w:rPr>
              <w:t>5 November 1924–23 September 1925</w:t>
            </w:r>
          </w:p>
        </w:tc>
      </w:tr>
      <w:tr w:rsidR="00030303" w:rsidRPr="00DB2B77" w14:paraId="71807061" w14:textId="77777777" w:rsidTr="00030303">
        <w:tc>
          <w:tcPr>
            <w:tcW w:w="3759" w:type="pct"/>
            <w:tcBorders>
              <w:top w:val="single" w:sz="4" w:space="0" w:color="auto"/>
              <w:left w:val="single" w:sz="4" w:space="0" w:color="auto"/>
              <w:bottom w:val="single" w:sz="4" w:space="0" w:color="auto"/>
              <w:right w:val="nil"/>
            </w:tcBorders>
            <w:vAlign w:val="top"/>
          </w:tcPr>
          <w:p w14:paraId="2567DC13" w14:textId="77777777" w:rsidR="00030303" w:rsidRPr="00D96D9D" w:rsidRDefault="00030303" w:rsidP="00030303">
            <w:pPr>
              <w:spacing w:after="0" w:line="240" w:lineRule="auto"/>
              <w:rPr>
                <w:rFonts w:asciiTheme="minorHAnsi" w:eastAsia="Times New Roman" w:hAnsiTheme="minorHAnsi" w:cs="Times New Roman"/>
                <w:color w:val="222222"/>
                <w:w w:val="100"/>
                <w:kern w:val="0"/>
                <w:sz w:val="19"/>
                <w:szCs w:val="19"/>
              </w:rPr>
            </w:pPr>
            <w:r w:rsidRPr="00D96D9D">
              <w:rPr>
                <w:rFonts w:asciiTheme="minorHAnsi" w:hAnsiTheme="minorHAnsi"/>
                <w:color w:val="222222"/>
                <w:sz w:val="19"/>
                <w:szCs w:val="19"/>
              </w:rPr>
              <w:t>Royal Commission on health</w:t>
            </w:r>
          </w:p>
        </w:tc>
        <w:tc>
          <w:tcPr>
            <w:tcW w:w="1241" w:type="pct"/>
            <w:tcBorders>
              <w:top w:val="single" w:sz="4" w:space="0" w:color="auto"/>
              <w:left w:val="nil"/>
              <w:bottom w:val="single" w:sz="4" w:space="0" w:color="auto"/>
              <w:right w:val="single" w:sz="4" w:space="0" w:color="auto"/>
            </w:tcBorders>
            <w:shd w:val="clear" w:color="auto" w:fill="D9D9D9"/>
            <w:vAlign w:val="top"/>
          </w:tcPr>
          <w:p w14:paraId="1C728C63" w14:textId="77777777" w:rsidR="00030303" w:rsidRPr="00D96D9D" w:rsidRDefault="00030303" w:rsidP="00030303">
            <w:pPr>
              <w:rPr>
                <w:rFonts w:asciiTheme="minorHAnsi" w:hAnsiTheme="minorHAnsi"/>
                <w:color w:val="222222"/>
                <w:sz w:val="19"/>
                <w:szCs w:val="19"/>
              </w:rPr>
            </w:pPr>
            <w:r w:rsidRPr="00D96D9D">
              <w:rPr>
                <w:rFonts w:asciiTheme="minorHAnsi" w:hAnsiTheme="minorHAnsi"/>
                <w:color w:val="222222"/>
                <w:sz w:val="19"/>
                <w:szCs w:val="19"/>
              </w:rPr>
              <w:t>7 January 1925–14 January 1926</w:t>
            </w:r>
          </w:p>
        </w:tc>
      </w:tr>
      <w:tr w:rsidR="00030303" w:rsidRPr="00DB2B77" w14:paraId="26983C6A" w14:textId="77777777" w:rsidTr="00030303">
        <w:tc>
          <w:tcPr>
            <w:tcW w:w="3759" w:type="pct"/>
            <w:tcBorders>
              <w:top w:val="single" w:sz="4" w:space="0" w:color="auto"/>
              <w:left w:val="single" w:sz="4" w:space="0" w:color="auto"/>
              <w:bottom w:val="single" w:sz="4" w:space="0" w:color="auto"/>
              <w:right w:val="nil"/>
            </w:tcBorders>
            <w:vAlign w:val="top"/>
          </w:tcPr>
          <w:p w14:paraId="67641ED7" w14:textId="77777777" w:rsidR="00030303" w:rsidRPr="00D96D9D" w:rsidRDefault="00030303" w:rsidP="00030303">
            <w:pPr>
              <w:spacing w:after="0" w:line="240" w:lineRule="auto"/>
              <w:rPr>
                <w:rFonts w:asciiTheme="minorHAnsi" w:eastAsia="Times New Roman" w:hAnsiTheme="minorHAnsi" w:cs="Times New Roman"/>
                <w:color w:val="222222"/>
                <w:w w:val="100"/>
                <w:kern w:val="0"/>
                <w:sz w:val="19"/>
                <w:szCs w:val="19"/>
              </w:rPr>
            </w:pPr>
            <w:r w:rsidRPr="00D96D9D">
              <w:rPr>
                <w:rFonts w:asciiTheme="minorHAnsi" w:hAnsiTheme="minorHAnsi"/>
                <w:color w:val="222222"/>
                <w:sz w:val="19"/>
                <w:szCs w:val="19"/>
              </w:rPr>
              <w:t>Royal Commission on Norfolk Island affairs</w:t>
            </w:r>
          </w:p>
        </w:tc>
        <w:tc>
          <w:tcPr>
            <w:tcW w:w="1241" w:type="pct"/>
            <w:tcBorders>
              <w:top w:val="single" w:sz="4" w:space="0" w:color="auto"/>
              <w:left w:val="nil"/>
              <w:bottom w:val="single" w:sz="4" w:space="0" w:color="auto"/>
              <w:right w:val="single" w:sz="4" w:space="0" w:color="auto"/>
            </w:tcBorders>
            <w:shd w:val="clear" w:color="auto" w:fill="D9D9D9"/>
            <w:vAlign w:val="top"/>
          </w:tcPr>
          <w:p w14:paraId="070003A3" w14:textId="77777777" w:rsidR="00030303" w:rsidRPr="00D96D9D" w:rsidRDefault="00030303" w:rsidP="00030303">
            <w:pPr>
              <w:rPr>
                <w:rFonts w:asciiTheme="minorHAnsi" w:hAnsiTheme="minorHAnsi"/>
                <w:color w:val="222222"/>
                <w:sz w:val="19"/>
                <w:szCs w:val="19"/>
              </w:rPr>
            </w:pPr>
            <w:r w:rsidRPr="00D96D9D">
              <w:rPr>
                <w:rFonts w:asciiTheme="minorHAnsi" w:hAnsiTheme="minorHAnsi"/>
                <w:color w:val="222222"/>
                <w:sz w:val="19"/>
                <w:szCs w:val="19"/>
              </w:rPr>
              <w:t>20 January–13 August 1926</w:t>
            </w:r>
          </w:p>
        </w:tc>
      </w:tr>
      <w:tr w:rsidR="00030303" w:rsidRPr="00DB2B77" w14:paraId="055356D6" w14:textId="77777777" w:rsidTr="00030303">
        <w:tc>
          <w:tcPr>
            <w:tcW w:w="3759" w:type="pct"/>
            <w:tcBorders>
              <w:top w:val="single" w:sz="4" w:space="0" w:color="auto"/>
              <w:left w:val="single" w:sz="4" w:space="0" w:color="auto"/>
              <w:bottom w:val="single" w:sz="4" w:space="0" w:color="auto"/>
              <w:right w:val="nil"/>
            </w:tcBorders>
            <w:vAlign w:val="top"/>
          </w:tcPr>
          <w:p w14:paraId="39526AD3" w14:textId="77777777" w:rsidR="00030303" w:rsidRPr="00D96D9D" w:rsidRDefault="00030303" w:rsidP="00030303">
            <w:pPr>
              <w:spacing w:after="0" w:line="240" w:lineRule="auto"/>
              <w:rPr>
                <w:rFonts w:asciiTheme="minorHAnsi" w:eastAsia="Times New Roman" w:hAnsiTheme="minorHAnsi" w:cs="Times New Roman"/>
                <w:color w:val="222222"/>
                <w:w w:val="100"/>
                <w:kern w:val="0"/>
                <w:sz w:val="19"/>
                <w:szCs w:val="19"/>
              </w:rPr>
            </w:pPr>
            <w:r w:rsidRPr="00D96D9D">
              <w:rPr>
                <w:rFonts w:asciiTheme="minorHAnsi" w:hAnsiTheme="minorHAnsi"/>
                <w:color w:val="222222"/>
                <w:sz w:val="19"/>
                <w:szCs w:val="19"/>
              </w:rPr>
              <w:t>Royal Commission on certain matters in connexion with the British Phosphate Commission</w:t>
            </w:r>
          </w:p>
        </w:tc>
        <w:tc>
          <w:tcPr>
            <w:tcW w:w="1241" w:type="pct"/>
            <w:tcBorders>
              <w:top w:val="single" w:sz="4" w:space="0" w:color="auto"/>
              <w:left w:val="nil"/>
              <w:bottom w:val="single" w:sz="4" w:space="0" w:color="auto"/>
              <w:right w:val="single" w:sz="4" w:space="0" w:color="auto"/>
            </w:tcBorders>
            <w:shd w:val="clear" w:color="auto" w:fill="D9D9D9"/>
            <w:vAlign w:val="top"/>
          </w:tcPr>
          <w:p w14:paraId="29D902F6" w14:textId="77777777" w:rsidR="00030303" w:rsidRPr="00D96D9D" w:rsidRDefault="00030303" w:rsidP="00030303">
            <w:pPr>
              <w:rPr>
                <w:rFonts w:asciiTheme="minorHAnsi" w:hAnsiTheme="minorHAnsi"/>
                <w:color w:val="222222"/>
                <w:sz w:val="19"/>
                <w:szCs w:val="19"/>
              </w:rPr>
            </w:pPr>
            <w:r w:rsidRPr="00D96D9D">
              <w:rPr>
                <w:rFonts w:asciiTheme="minorHAnsi" w:hAnsiTheme="minorHAnsi"/>
                <w:color w:val="222222"/>
                <w:sz w:val="19"/>
                <w:szCs w:val="19"/>
              </w:rPr>
              <w:t>13 June–11 August 1926</w:t>
            </w:r>
          </w:p>
        </w:tc>
      </w:tr>
      <w:tr w:rsidR="00030303" w:rsidRPr="00DB2B77" w14:paraId="63009242" w14:textId="77777777" w:rsidTr="00030303">
        <w:tc>
          <w:tcPr>
            <w:tcW w:w="3759" w:type="pct"/>
            <w:tcBorders>
              <w:top w:val="single" w:sz="4" w:space="0" w:color="auto"/>
              <w:left w:val="single" w:sz="4" w:space="0" w:color="auto"/>
              <w:bottom w:val="single" w:sz="4" w:space="0" w:color="auto"/>
              <w:right w:val="nil"/>
            </w:tcBorders>
            <w:vAlign w:val="top"/>
          </w:tcPr>
          <w:p w14:paraId="6936FD72" w14:textId="77777777" w:rsidR="00030303" w:rsidRPr="00D96D9D" w:rsidRDefault="00030303" w:rsidP="00030303">
            <w:pPr>
              <w:spacing w:after="0" w:line="240" w:lineRule="auto"/>
              <w:rPr>
                <w:rFonts w:asciiTheme="minorHAnsi" w:eastAsia="Times New Roman" w:hAnsiTheme="minorHAnsi" w:cs="Times New Roman"/>
                <w:color w:val="222222"/>
                <w:w w:val="100"/>
                <w:kern w:val="0"/>
                <w:sz w:val="19"/>
                <w:szCs w:val="19"/>
              </w:rPr>
            </w:pPr>
            <w:r w:rsidRPr="00D96D9D">
              <w:rPr>
                <w:rFonts w:asciiTheme="minorHAnsi" w:hAnsiTheme="minorHAnsi"/>
                <w:color w:val="222222"/>
                <w:sz w:val="19"/>
                <w:szCs w:val="19"/>
              </w:rPr>
              <w:t>Royal Commission on wireless</w:t>
            </w:r>
          </w:p>
        </w:tc>
        <w:tc>
          <w:tcPr>
            <w:tcW w:w="1241" w:type="pct"/>
            <w:tcBorders>
              <w:top w:val="single" w:sz="4" w:space="0" w:color="auto"/>
              <w:left w:val="nil"/>
              <w:bottom w:val="single" w:sz="4" w:space="0" w:color="auto"/>
              <w:right w:val="single" w:sz="4" w:space="0" w:color="auto"/>
            </w:tcBorders>
            <w:shd w:val="clear" w:color="auto" w:fill="D9D9D9"/>
            <w:vAlign w:val="top"/>
          </w:tcPr>
          <w:p w14:paraId="7DA5F6F8" w14:textId="77777777" w:rsidR="00030303" w:rsidRPr="00D96D9D" w:rsidRDefault="00030303" w:rsidP="00030303">
            <w:pPr>
              <w:rPr>
                <w:rFonts w:asciiTheme="minorHAnsi" w:hAnsiTheme="minorHAnsi"/>
                <w:color w:val="222222"/>
                <w:sz w:val="19"/>
                <w:szCs w:val="19"/>
              </w:rPr>
            </w:pPr>
            <w:r w:rsidRPr="00D96D9D">
              <w:rPr>
                <w:rFonts w:asciiTheme="minorHAnsi" w:hAnsiTheme="minorHAnsi"/>
                <w:color w:val="222222"/>
                <w:sz w:val="19"/>
                <w:szCs w:val="19"/>
              </w:rPr>
              <w:t>28 January–5 October 1927</w:t>
            </w:r>
          </w:p>
        </w:tc>
      </w:tr>
      <w:tr w:rsidR="00030303" w:rsidRPr="00DB2B77" w14:paraId="4CF4F00D" w14:textId="77777777" w:rsidTr="00030303">
        <w:tc>
          <w:tcPr>
            <w:tcW w:w="3759" w:type="pct"/>
            <w:tcBorders>
              <w:top w:val="single" w:sz="4" w:space="0" w:color="auto"/>
              <w:left w:val="single" w:sz="4" w:space="0" w:color="auto"/>
              <w:bottom w:val="single" w:sz="4" w:space="0" w:color="auto"/>
              <w:right w:val="nil"/>
            </w:tcBorders>
            <w:vAlign w:val="top"/>
          </w:tcPr>
          <w:p w14:paraId="27F7EC15" w14:textId="77777777" w:rsidR="00030303" w:rsidRPr="00D96D9D" w:rsidRDefault="00030303" w:rsidP="00030303">
            <w:pPr>
              <w:spacing w:after="0" w:line="240" w:lineRule="auto"/>
              <w:rPr>
                <w:rFonts w:asciiTheme="minorHAnsi" w:eastAsia="Times New Roman" w:hAnsiTheme="minorHAnsi" w:cs="Times New Roman"/>
                <w:color w:val="222222"/>
                <w:w w:val="100"/>
                <w:kern w:val="0"/>
                <w:sz w:val="19"/>
                <w:szCs w:val="19"/>
              </w:rPr>
            </w:pPr>
            <w:r w:rsidRPr="00D96D9D">
              <w:rPr>
                <w:rFonts w:asciiTheme="minorHAnsi" w:hAnsiTheme="minorHAnsi"/>
                <w:color w:val="222222"/>
                <w:sz w:val="19"/>
                <w:szCs w:val="19"/>
              </w:rPr>
              <w:t>Royal Commission on the Edie Creek (New Guinea) leases</w:t>
            </w:r>
          </w:p>
        </w:tc>
        <w:tc>
          <w:tcPr>
            <w:tcW w:w="1241" w:type="pct"/>
            <w:tcBorders>
              <w:top w:val="single" w:sz="4" w:space="0" w:color="auto"/>
              <w:left w:val="nil"/>
              <w:bottom w:val="single" w:sz="4" w:space="0" w:color="auto"/>
              <w:right w:val="single" w:sz="4" w:space="0" w:color="auto"/>
            </w:tcBorders>
            <w:shd w:val="clear" w:color="auto" w:fill="D9D9D9"/>
            <w:vAlign w:val="top"/>
          </w:tcPr>
          <w:p w14:paraId="6D28B000" w14:textId="77777777" w:rsidR="00030303" w:rsidRPr="00D96D9D" w:rsidRDefault="00030303" w:rsidP="00030303">
            <w:pPr>
              <w:rPr>
                <w:rFonts w:asciiTheme="minorHAnsi" w:hAnsiTheme="minorHAnsi"/>
                <w:color w:val="222222"/>
                <w:sz w:val="19"/>
                <w:szCs w:val="19"/>
              </w:rPr>
            </w:pPr>
            <w:r w:rsidRPr="00D96D9D">
              <w:rPr>
                <w:rFonts w:asciiTheme="minorHAnsi" w:hAnsiTheme="minorHAnsi"/>
                <w:color w:val="222222"/>
                <w:sz w:val="19"/>
                <w:szCs w:val="19"/>
              </w:rPr>
              <w:t>2 March–5 October 1927</w:t>
            </w:r>
          </w:p>
        </w:tc>
      </w:tr>
      <w:tr w:rsidR="00030303" w:rsidRPr="00DB2B77" w14:paraId="0528561B" w14:textId="77777777" w:rsidTr="00030303">
        <w:tc>
          <w:tcPr>
            <w:tcW w:w="3759" w:type="pct"/>
            <w:tcBorders>
              <w:top w:val="single" w:sz="4" w:space="0" w:color="auto"/>
              <w:left w:val="single" w:sz="4" w:space="0" w:color="auto"/>
              <w:bottom w:val="single" w:sz="4" w:space="0" w:color="auto"/>
              <w:right w:val="nil"/>
            </w:tcBorders>
            <w:vAlign w:val="top"/>
          </w:tcPr>
          <w:p w14:paraId="6BAA0CE5" w14:textId="77777777" w:rsidR="00030303" w:rsidRPr="00D96D9D" w:rsidRDefault="00030303" w:rsidP="00030303">
            <w:pPr>
              <w:spacing w:after="0" w:line="240" w:lineRule="auto"/>
              <w:rPr>
                <w:rFonts w:asciiTheme="minorHAnsi" w:eastAsia="Times New Roman" w:hAnsiTheme="minorHAnsi" w:cs="Times New Roman"/>
                <w:color w:val="222222"/>
                <w:w w:val="100"/>
                <w:kern w:val="0"/>
                <w:sz w:val="19"/>
                <w:szCs w:val="19"/>
              </w:rPr>
            </w:pPr>
            <w:r w:rsidRPr="00D96D9D">
              <w:rPr>
                <w:rFonts w:asciiTheme="minorHAnsi" w:hAnsiTheme="minorHAnsi"/>
                <w:color w:val="222222"/>
                <w:sz w:val="19"/>
                <w:szCs w:val="19"/>
              </w:rPr>
              <w:t>Royal Commission on the moving picture industry in Australia</w:t>
            </w:r>
          </w:p>
        </w:tc>
        <w:tc>
          <w:tcPr>
            <w:tcW w:w="1241" w:type="pct"/>
            <w:tcBorders>
              <w:top w:val="single" w:sz="4" w:space="0" w:color="auto"/>
              <w:left w:val="nil"/>
              <w:bottom w:val="single" w:sz="4" w:space="0" w:color="auto"/>
              <w:right w:val="single" w:sz="4" w:space="0" w:color="auto"/>
            </w:tcBorders>
            <w:shd w:val="clear" w:color="auto" w:fill="D9D9D9"/>
            <w:vAlign w:val="top"/>
          </w:tcPr>
          <w:p w14:paraId="75BD95CA" w14:textId="77777777" w:rsidR="00030303" w:rsidRPr="00D96D9D" w:rsidRDefault="00030303" w:rsidP="00030303">
            <w:pPr>
              <w:rPr>
                <w:rFonts w:asciiTheme="minorHAnsi" w:hAnsiTheme="minorHAnsi"/>
                <w:color w:val="222222"/>
                <w:sz w:val="19"/>
                <w:szCs w:val="19"/>
              </w:rPr>
            </w:pPr>
            <w:r w:rsidRPr="00D96D9D">
              <w:rPr>
                <w:rFonts w:asciiTheme="minorHAnsi" w:hAnsiTheme="minorHAnsi"/>
                <w:color w:val="222222"/>
                <w:sz w:val="19"/>
                <w:szCs w:val="19"/>
              </w:rPr>
              <w:t>28 May 1927–26 April 1928</w:t>
            </w:r>
          </w:p>
        </w:tc>
      </w:tr>
      <w:tr w:rsidR="00030303" w:rsidRPr="00DB2B77" w14:paraId="2E6FE9F7" w14:textId="77777777" w:rsidTr="00030303">
        <w:tc>
          <w:tcPr>
            <w:tcW w:w="3759" w:type="pct"/>
            <w:tcBorders>
              <w:top w:val="single" w:sz="4" w:space="0" w:color="auto"/>
              <w:left w:val="single" w:sz="4" w:space="0" w:color="auto"/>
              <w:bottom w:val="single" w:sz="4" w:space="0" w:color="auto"/>
              <w:right w:val="nil"/>
            </w:tcBorders>
            <w:vAlign w:val="top"/>
          </w:tcPr>
          <w:p w14:paraId="777BF6B0" w14:textId="77777777" w:rsidR="00030303" w:rsidRPr="00D96D9D" w:rsidRDefault="00030303" w:rsidP="00030303">
            <w:pPr>
              <w:spacing w:after="0" w:line="240" w:lineRule="auto"/>
              <w:rPr>
                <w:rFonts w:asciiTheme="minorHAnsi" w:eastAsia="Times New Roman" w:hAnsiTheme="minorHAnsi" w:cs="Times New Roman"/>
                <w:color w:val="222222"/>
                <w:w w:val="100"/>
                <w:kern w:val="0"/>
                <w:sz w:val="19"/>
                <w:szCs w:val="19"/>
              </w:rPr>
            </w:pPr>
            <w:r w:rsidRPr="00D96D9D">
              <w:rPr>
                <w:rFonts w:asciiTheme="minorHAnsi" w:hAnsiTheme="minorHAnsi"/>
                <w:color w:val="222222"/>
                <w:sz w:val="19"/>
                <w:szCs w:val="19"/>
              </w:rPr>
              <w:t>Royal Commission on the </w:t>
            </w:r>
            <w:r w:rsidRPr="00D96D9D">
              <w:rPr>
                <w:rStyle w:val="Emphasis"/>
                <w:rFonts w:asciiTheme="minorHAnsi" w:hAnsiTheme="minorHAnsi"/>
                <w:color w:val="222222"/>
                <w:sz w:val="19"/>
                <w:szCs w:val="19"/>
              </w:rPr>
              <w:t>Constitution</w:t>
            </w:r>
          </w:p>
        </w:tc>
        <w:tc>
          <w:tcPr>
            <w:tcW w:w="1241" w:type="pct"/>
            <w:tcBorders>
              <w:top w:val="single" w:sz="4" w:space="0" w:color="auto"/>
              <w:left w:val="nil"/>
              <w:bottom w:val="single" w:sz="4" w:space="0" w:color="auto"/>
              <w:right w:val="single" w:sz="4" w:space="0" w:color="auto"/>
            </w:tcBorders>
            <w:shd w:val="clear" w:color="auto" w:fill="D9D9D9"/>
            <w:vAlign w:val="top"/>
          </w:tcPr>
          <w:p w14:paraId="69B3B692" w14:textId="77777777" w:rsidR="00030303" w:rsidRPr="00D96D9D" w:rsidRDefault="00030303" w:rsidP="00030303">
            <w:pPr>
              <w:rPr>
                <w:rFonts w:asciiTheme="minorHAnsi" w:hAnsiTheme="minorHAnsi"/>
                <w:color w:val="222222"/>
                <w:sz w:val="19"/>
                <w:szCs w:val="19"/>
              </w:rPr>
            </w:pPr>
            <w:r w:rsidRPr="00D96D9D">
              <w:rPr>
                <w:rFonts w:asciiTheme="minorHAnsi" w:hAnsiTheme="minorHAnsi"/>
                <w:color w:val="222222"/>
                <w:sz w:val="19"/>
                <w:szCs w:val="19"/>
              </w:rPr>
              <w:t>18 August 1927–21 November 1929</w:t>
            </w:r>
          </w:p>
        </w:tc>
      </w:tr>
      <w:tr w:rsidR="00030303" w:rsidRPr="00DB2B77" w14:paraId="5D36AE39" w14:textId="77777777" w:rsidTr="00030303">
        <w:tc>
          <w:tcPr>
            <w:tcW w:w="3759" w:type="pct"/>
            <w:tcBorders>
              <w:top w:val="single" w:sz="4" w:space="0" w:color="auto"/>
              <w:left w:val="single" w:sz="4" w:space="0" w:color="auto"/>
              <w:bottom w:val="single" w:sz="4" w:space="0" w:color="auto"/>
              <w:right w:val="nil"/>
            </w:tcBorders>
            <w:vAlign w:val="top"/>
          </w:tcPr>
          <w:p w14:paraId="166F63ED" w14:textId="77777777" w:rsidR="00030303" w:rsidRPr="00D96D9D" w:rsidRDefault="00030303" w:rsidP="00030303">
            <w:pPr>
              <w:spacing w:after="0" w:line="240" w:lineRule="auto"/>
              <w:rPr>
                <w:rFonts w:asciiTheme="minorHAnsi" w:eastAsia="Times New Roman" w:hAnsiTheme="minorHAnsi" w:cs="Times New Roman"/>
                <w:color w:val="222222"/>
                <w:w w:val="100"/>
                <w:kern w:val="0"/>
                <w:sz w:val="19"/>
                <w:szCs w:val="19"/>
              </w:rPr>
            </w:pPr>
            <w:r w:rsidRPr="00D96D9D">
              <w:rPr>
                <w:rFonts w:asciiTheme="minorHAnsi" w:hAnsiTheme="minorHAnsi"/>
                <w:color w:val="222222"/>
                <w:sz w:val="19"/>
                <w:szCs w:val="19"/>
              </w:rPr>
              <w:lastRenderedPageBreak/>
              <w:t>Royal Commission on child endowment or family allowances</w:t>
            </w:r>
          </w:p>
        </w:tc>
        <w:tc>
          <w:tcPr>
            <w:tcW w:w="1241" w:type="pct"/>
            <w:tcBorders>
              <w:top w:val="single" w:sz="4" w:space="0" w:color="auto"/>
              <w:left w:val="nil"/>
              <w:bottom w:val="single" w:sz="4" w:space="0" w:color="auto"/>
              <w:right w:val="single" w:sz="4" w:space="0" w:color="auto"/>
            </w:tcBorders>
            <w:shd w:val="clear" w:color="auto" w:fill="D9D9D9"/>
            <w:vAlign w:val="top"/>
          </w:tcPr>
          <w:p w14:paraId="4A59419B" w14:textId="77777777" w:rsidR="00030303" w:rsidRPr="00D96D9D" w:rsidRDefault="00030303" w:rsidP="00030303">
            <w:pPr>
              <w:rPr>
                <w:rFonts w:asciiTheme="minorHAnsi" w:hAnsiTheme="minorHAnsi"/>
                <w:color w:val="222222"/>
                <w:sz w:val="19"/>
                <w:szCs w:val="19"/>
              </w:rPr>
            </w:pPr>
            <w:r w:rsidRPr="00D96D9D">
              <w:rPr>
                <w:rFonts w:asciiTheme="minorHAnsi" w:hAnsiTheme="minorHAnsi"/>
                <w:color w:val="222222"/>
                <w:sz w:val="19"/>
                <w:szCs w:val="19"/>
              </w:rPr>
              <w:t>28 September 1927–18 March 1929</w:t>
            </w:r>
          </w:p>
        </w:tc>
      </w:tr>
      <w:tr w:rsidR="00030303" w:rsidRPr="00DB2B77" w14:paraId="2C562970" w14:textId="77777777" w:rsidTr="00030303">
        <w:tc>
          <w:tcPr>
            <w:tcW w:w="3759" w:type="pct"/>
            <w:tcBorders>
              <w:top w:val="single" w:sz="4" w:space="0" w:color="auto"/>
              <w:left w:val="single" w:sz="4" w:space="0" w:color="auto"/>
              <w:bottom w:val="single" w:sz="4" w:space="0" w:color="auto"/>
              <w:right w:val="nil"/>
            </w:tcBorders>
            <w:vAlign w:val="top"/>
          </w:tcPr>
          <w:p w14:paraId="15C6B586" w14:textId="77777777" w:rsidR="00030303" w:rsidRPr="00D96D9D" w:rsidRDefault="00030303" w:rsidP="00030303">
            <w:pPr>
              <w:spacing w:after="0" w:line="240" w:lineRule="auto"/>
              <w:rPr>
                <w:rFonts w:asciiTheme="minorHAnsi" w:eastAsia="Times New Roman" w:hAnsiTheme="minorHAnsi" w:cs="Times New Roman"/>
                <w:color w:val="222222"/>
                <w:w w:val="100"/>
                <w:kern w:val="0"/>
                <w:sz w:val="19"/>
                <w:szCs w:val="19"/>
              </w:rPr>
            </w:pPr>
            <w:r w:rsidRPr="00D96D9D">
              <w:rPr>
                <w:rFonts w:asciiTheme="minorHAnsi" w:hAnsiTheme="minorHAnsi"/>
                <w:color w:val="222222"/>
                <w:sz w:val="19"/>
                <w:szCs w:val="19"/>
              </w:rPr>
              <w:t>Royal Commission of inquiry into fatalities at Bundaberg</w:t>
            </w:r>
          </w:p>
        </w:tc>
        <w:tc>
          <w:tcPr>
            <w:tcW w:w="1241" w:type="pct"/>
            <w:tcBorders>
              <w:top w:val="single" w:sz="4" w:space="0" w:color="auto"/>
              <w:left w:val="nil"/>
              <w:bottom w:val="single" w:sz="4" w:space="0" w:color="auto"/>
              <w:right w:val="single" w:sz="4" w:space="0" w:color="auto"/>
            </w:tcBorders>
            <w:shd w:val="clear" w:color="auto" w:fill="D9D9D9"/>
            <w:vAlign w:val="top"/>
          </w:tcPr>
          <w:p w14:paraId="032E8FFA" w14:textId="77777777" w:rsidR="00030303" w:rsidRPr="00D96D9D" w:rsidRDefault="00030303" w:rsidP="00030303">
            <w:pPr>
              <w:rPr>
                <w:rFonts w:asciiTheme="minorHAnsi" w:hAnsiTheme="minorHAnsi"/>
                <w:color w:val="222222"/>
                <w:sz w:val="19"/>
                <w:szCs w:val="19"/>
              </w:rPr>
            </w:pPr>
            <w:r w:rsidRPr="00D96D9D">
              <w:rPr>
                <w:rFonts w:asciiTheme="minorHAnsi" w:hAnsiTheme="minorHAnsi"/>
                <w:color w:val="222222"/>
                <w:sz w:val="19"/>
                <w:szCs w:val="19"/>
              </w:rPr>
              <w:t>1 February–13 June 1928</w:t>
            </w:r>
          </w:p>
        </w:tc>
      </w:tr>
      <w:tr w:rsidR="00030303" w:rsidRPr="00DB2B77" w14:paraId="4A20673B" w14:textId="77777777" w:rsidTr="00030303">
        <w:tc>
          <w:tcPr>
            <w:tcW w:w="3759" w:type="pct"/>
            <w:tcBorders>
              <w:top w:val="single" w:sz="4" w:space="0" w:color="auto"/>
              <w:left w:val="single" w:sz="4" w:space="0" w:color="auto"/>
              <w:bottom w:val="single" w:sz="4" w:space="0" w:color="auto"/>
              <w:right w:val="nil"/>
            </w:tcBorders>
            <w:vAlign w:val="top"/>
          </w:tcPr>
          <w:p w14:paraId="00806956" w14:textId="77777777" w:rsidR="00030303" w:rsidRPr="00D96D9D" w:rsidRDefault="00030303" w:rsidP="00030303">
            <w:pPr>
              <w:spacing w:after="0" w:line="240" w:lineRule="auto"/>
              <w:rPr>
                <w:rFonts w:asciiTheme="minorHAnsi" w:eastAsia="Times New Roman" w:hAnsiTheme="minorHAnsi" w:cs="Times New Roman"/>
                <w:color w:val="222222"/>
                <w:w w:val="100"/>
                <w:kern w:val="0"/>
                <w:sz w:val="19"/>
                <w:szCs w:val="19"/>
              </w:rPr>
            </w:pPr>
            <w:r w:rsidRPr="00D96D9D">
              <w:rPr>
                <w:rFonts w:asciiTheme="minorHAnsi" w:hAnsiTheme="minorHAnsi"/>
                <w:color w:val="222222"/>
                <w:sz w:val="19"/>
                <w:szCs w:val="19"/>
              </w:rPr>
              <w:t>Royal Commission appointed to inquire into statements in the press in regard to offers alleged to have been made to members to resign seats in the Federal Parliament</w:t>
            </w:r>
          </w:p>
        </w:tc>
        <w:tc>
          <w:tcPr>
            <w:tcW w:w="1241" w:type="pct"/>
            <w:tcBorders>
              <w:top w:val="single" w:sz="4" w:space="0" w:color="auto"/>
              <w:left w:val="nil"/>
              <w:bottom w:val="single" w:sz="4" w:space="0" w:color="auto"/>
              <w:right w:val="single" w:sz="4" w:space="0" w:color="auto"/>
            </w:tcBorders>
            <w:shd w:val="clear" w:color="auto" w:fill="D9D9D9"/>
            <w:vAlign w:val="top"/>
          </w:tcPr>
          <w:p w14:paraId="5955C2D6" w14:textId="77777777" w:rsidR="00030303" w:rsidRPr="00D96D9D" w:rsidRDefault="00030303" w:rsidP="00030303">
            <w:pPr>
              <w:rPr>
                <w:rFonts w:asciiTheme="minorHAnsi" w:hAnsiTheme="minorHAnsi"/>
                <w:color w:val="222222"/>
                <w:sz w:val="19"/>
                <w:szCs w:val="19"/>
              </w:rPr>
            </w:pPr>
            <w:r w:rsidRPr="00D96D9D">
              <w:rPr>
                <w:rFonts w:asciiTheme="minorHAnsi" w:hAnsiTheme="minorHAnsi"/>
                <w:color w:val="222222"/>
                <w:sz w:val="19"/>
                <w:szCs w:val="19"/>
              </w:rPr>
              <w:t>28 May–4 September 1928</w:t>
            </w:r>
          </w:p>
        </w:tc>
      </w:tr>
      <w:tr w:rsidR="00030303" w:rsidRPr="00DB2B77" w14:paraId="7E9ECD3D" w14:textId="77777777" w:rsidTr="00030303">
        <w:tc>
          <w:tcPr>
            <w:tcW w:w="3759" w:type="pct"/>
            <w:tcBorders>
              <w:top w:val="single" w:sz="4" w:space="0" w:color="auto"/>
              <w:left w:val="single" w:sz="4" w:space="0" w:color="auto"/>
              <w:bottom w:val="single" w:sz="4" w:space="0" w:color="auto"/>
              <w:right w:val="nil"/>
            </w:tcBorders>
            <w:vAlign w:val="top"/>
          </w:tcPr>
          <w:p w14:paraId="58251F6B" w14:textId="77777777" w:rsidR="00030303" w:rsidRPr="00D96D9D" w:rsidRDefault="00030303" w:rsidP="00030303">
            <w:pPr>
              <w:spacing w:after="0" w:line="240" w:lineRule="auto"/>
              <w:rPr>
                <w:rFonts w:asciiTheme="minorHAnsi" w:eastAsia="Times New Roman" w:hAnsiTheme="minorHAnsi" w:cs="Times New Roman"/>
                <w:color w:val="222222"/>
                <w:w w:val="100"/>
                <w:kern w:val="0"/>
                <w:sz w:val="19"/>
                <w:szCs w:val="19"/>
              </w:rPr>
            </w:pPr>
            <w:r w:rsidRPr="00D96D9D">
              <w:rPr>
                <w:rFonts w:asciiTheme="minorHAnsi" w:hAnsiTheme="minorHAnsi"/>
                <w:color w:val="222222"/>
                <w:sz w:val="19"/>
                <w:szCs w:val="19"/>
              </w:rPr>
              <w:t>Royal Commission on the finances of South Australia, as affected by Federation</w:t>
            </w:r>
          </w:p>
        </w:tc>
        <w:tc>
          <w:tcPr>
            <w:tcW w:w="1241" w:type="pct"/>
            <w:tcBorders>
              <w:top w:val="single" w:sz="4" w:space="0" w:color="auto"/>
              <w:left w:val="nil"/>
              <w:bottom w:val="single" w:sz="4" w:space="0" w:color="auto"/>
              <w:right w:val="single" w:sz="4" w:space="0" w:color="auto"/>
            </w:tcBorders>
            <w:shd w:val="clear" w:color="auto" w:fill="D9D9D9"/>
            <w:vAlign w:val="top"/>
          </w:tcPr>
          <w:p w14:paraId="233335AC" w14:textId="77777777" w:rsidR="00030303" w:rsidRPr="00D96D9D" w:rsidRDefault="00030303" w:rsidP="00030303">
            <w:pPr>
              <w:rPr>
                <w:rFonts w:asciiTheme="minorHAnsi" w:hAnsiTheme="minorHAnsi"/>
                <w:color w:val="222222"/>
                <w:sz w:val="19"/>
                <w:szCs w:val="19"/>
              </w:rPr>
            </w:pPr>
            <w:r w:rsidRPr="00D96D9D">
              <w:rPr>
                <w:rFonts w:asciiTheme="minorHAnsi" w:hAnsiTheme="minorHAnsi"/>
                <w:color w:val="222222"/>
                <w:sz w:val="19"/>
                <w:szCs w:val="19"/>
              </w:rPr>
              <w:t>28 July 1928–22 August 1929</w:t>
            </w:r>
          </w:p>
        </w:tc>
      </w:tr>
      <w:tr w:rsidR="00030303" w:rsidRPr="00DB2B77" w14:paraId="16DB43A0" w14:textId="77777777" w:rsidTr="00030303">
        <w:tc>
          <w:tcPr>
            <w:tcW w:w="3759" w:type="pct"/>
            <w:tcBorders>
              <w:top w:val="single" w:sz="4" w:space="0" w:color="auto"/>
              <w:left w:val="single" w:sz="4" w:space="0" w:color="auto"/>
              <w:bottom w:val="single" w:sz="4" w:space="0" w:color="auto"/>
              <w:right w:val="nil"/>
            </w:tcBorders>
            <w:vAlign w:val="top"/>
          </w:tcPr>
          <w:p w14:paraId="2D34A17C" w14:textId="77777777" w:rsidR="00030303" w:rsidRPr="00D96D9D" w:rsidRDefault="00030303" w:rsidP="00030303">
            <w:pPr>
              <w:spacing w:after="0" w:line="240" w:lineRule="auto"/>
              <w:rPr>
                <w:rFonts w:asciiTheme="minorHAnsi" w:eastAsia="Times New Roman" w:hAnsiTheme="minorHAnsi" w:cs="Times New Roman"/>
                <w:color w:val="222222"/>
                <w:w w:val="100"/>
                <w:kern w:val="0"/>
                <w:sz w:val="19"/>
                <w:szCs w:val="19"/>
              </w:rPr>
            </w:pPr>
            <w:r w:rsidRPr="00D96D9D">
              <w:rPr>
                <w:rFonts w:asciiTheme="minorHAnsi" w:hAnsiTheme="minorHAnsi"/>
                <w:color w:val="222222"/>
                <w:sz w:val="19"/>
                <w:szCs w:val="19"/>
              </w:rPr>
              <w:t>Royal Commission on the coal industry</w:t>
            </w:r>
          </w:p>
        </w:tc>
        <w:tc>
          <w:tcPr>
            <w:tcW w:w="1241" w:type="pct"/>
            <w:tcBorders>
              <w:top w:val="single" w:sz="4" w:space="0" w:color="auto"/>
              <w:left w:val="nil"/>
              <w:bottom w:val="single" w:sz="4" w:space="0" w:color="auto"/>
              <w:right w:val="single" w:sz="4" w:space="0" w:color="auto"/>
            </w:tcBorders>
            <w:shd w:val="clear" w:color="auto" w:fill="D9D9D9"/>
            <w:vAlign w:val="top"/>
          </w:tcPr>
          <w:p w14:paraId="5723E37E" w14:textId="77777777" w:rsidR="00030303" w:rsidRPr="00D96D9D" w:rsidRDefault="00030303" w:rsidP="00030303">
            <w:pPr>
              <w:rPr>
                <w:rFonts w:asciiTheme="minorHAnsi" w:hAnsiTheme="minorHAnsi"/>
                <w:color w:val="222222"/>
                <w:sz w:val="19"/>
                <w:szCs w:val="19"/>
              </w:rPr>
            </w:pPr>
            <w:r w:rsidRPr="00D96D9D">
              <w:rPr>
                <w:rFonts w:asciiTheme="minorHAnsi" w:hAnsiTheme="minorHAnsi"/>
                <w:color w:val="222222"/>
                <w:sz w:val="19"/>
                <w:szCs w:val="19"/>
              </w:rPr>
              <w:t>3 June–21 November 1929</w:t>
            </w:r>
          </w:p>
        </w:tc>
      </w:tr>
      <w:tr w:rsidR="00030303" w:rsidRPr="00DB2B77" w14:paraId="0811FEB3" w14:textId="77777777" w:rsidTr="00030303">
        <w:tc>
          <w:tcPr>
            <w:tcW w:w="3759" w:type="pct"/>
            <w:tcBorders>
              <w:top w:val="single" w:sz="4" w:space="0" w:color="auto"/>
              <w:left w:val="single" w:sz="4" w:space="0" w:color="auto"/>
              <w:bottom w:val="single" w:sz="4" w:space="0" w:color="auto"/>
              <w:right w:val="nil"/>
            </w:tcBorders>
            <w:vAlign w:val="top"/>
          </w:tcPr>
          <w:p w14:paraId="74BE0559" w14:textId="77777777" w:rsidR="00030303" w:rsidRPr="00D96D9D" w:rsidRDefault="00030303" w:rsidP="00030303">
            <w:pPr>
              <w:spacing w:after="0" w:line="240" w:lineRule="auto"/>
              <w:rPr>
                <w:rFonts w:asciiTheme="minorHAnsi" w:eastAsia="Times New Roman" w:hAnsiTheme="minorHAnsi" w:cs="Times New Roman"/>
                <w:color w:val="222222"/>
                <w:w w:val="100"/>
                <w:kern w:val="0"/>
                <w:sz w:val="19"/>
                <w:szCs w:val="19"/>
              </w:rPr>
            </w:pPr>
            <w:r w:rsidRPr="00D96D9D">
              <w:rPr>
                <w:rFonts w:asciiTheme="minorHAnsi" w:hAnsiTheme="minorHAnsi"/>
                <w:color w:val="222222"/>
                <w:sz w:val="19"/>
                <w:szCs w:val="19"/>
              </w:rPr>
              <w:t>Royal Commission appointed to inquire into allegations affecting members of the Parliamentary Joint Committee of Public Accounts in connexion with claims made by broadcasting companies against the Commonwealth Government</w:t>
            </w:r>
          </w:p>
        </w:tc>
        <w:tc>
          <w:tcPr>
            <w:tcW w:w="1241" w:type="pct"/>
            <w:tcBorders>
              <w:top w:val="single" w:sz="4" w:space="0" w:color="auto"/>
              <w:left w:val="nil"/>
              <w:bottom w:val="single" w:sz="4" w:space="0" w:color="auto"/>
              <w:right w:val="single" w:sz="4" w:space="0" w:color="auto"/>
            </w:tcBorders>
            <w:shd w:val="clear" w:color="auto" w:fill="D9D9D9"/>
            <w:vAlign w:val="top"/>
          </w:tcPr>
          <w:p w14:paraId="38E01853" w14:textId="77777777" w:rsidR="00030303" w:rsidRPr="00D96D9D" w:rsidRDefault="00030303" w:rsidP="00030303">
            <w:pPr>
              <w:rPr>
                <w:rFonts w:asciiTheme="minorHAnsi" w:hAnsiTheme="minorHAnsi"/>
                <w:color w:val="222222"/>
                <w:sz w:val="19"/>
                <w:szCs w:val="19"/>
              </w:rPr>
            </w:pPr>
            <w:r w:rsidRPr="00D96D9D">
              <w:rPr>
                <w:rFonts w:asciiTheme="minorHAnsi" w:hAnsiTheme="minorHAnsi"/>
                <w:color w:val="222222"/>
                <w:sz w:val="19"/>
                <w:szCs w:val="19"/>
              </w:rPr>
              <w:t>15 May–8 August 1930</w:t>
            </w:r>
          </w:p>
        </w:tc>
      </w:tr>
      <w:tr w:rsidR="00030303" w:rsidRPr="00DB2B77" w14:paraId="0B51ECA5" w14:textId="77777777" w:rsidTr="00030303">
        <w:tc>
          <w:tcPr>
            <w:tcW w:w="3759" w:type="pct"/>
            <w:tcBorders>
              <w:top w:val="single" w:sz="4" w:space="0" w:color="auto"/>
              <w:left w:val="single" w:sz="4" w:space="0" w:color="auto"/>
              <w:bottom w:val="single" w:sz="4" w:space="0" w:color="auto"/>
              <w:right w:val="nil"/>
            </w:tcBorders>
            <w:vAlign w:val="top"/>
          </w:tcPr>
          <w:p w14:paraId="3564C4A3" w14:textId="77777777" w:rsidR="00030303" w:rsidRPr="00D96D9D" w:rsidRDefault="00030303" w:rsidP="00030303">
            <w:pPr>
              <w:spacing w:after="0" w:line="240" w:lineRule="auto"/>
              <w:rPr>
                <w:rFonts w:asciiTheme="minorHAnsi" w:eastAsia="Times New Roman" w:hAnsiTheme="minorHAnsi" w:cs="Times New Roman"/>
                <w:color w:val="222222"/>
                <w:w w:val="100"/>
                <w:kern w:val="0"/>
                <w:sz w:val="19"/>
                <w:szCs w:val="19"/>
              </w:rPr>
            </w:pPr>
            <w:r w:rsidRPr="00D96D9D">
              <w:rPr>
                <w:rFonts w:asciiTheme="minorHAnsi" w:hAnsiTheme="minorHAnsi"/>
                <w:color w:val="222222"/>
                <w:sz w:val="19"/>
                <w:szCs w:val="19"/>
              </w:rPr>
              <w:t>Royal Commission on Jacob Johnson</w:t>
            </w:r>
          </w:p>
        </w:tc>
        <w:tc>
          <w:tcPr>
            <w:tcW w:w="1241" w:type="pct"/>
            <w:tcBorders>
              <w:top w:val="single" w:sz="4" w:space="0" w:color="auto"/>
              <w:left w:val="nil"/>
              <w:bottom w:val="single" w:sz="4" w:space="0" w:color="auto"/>
              <w:right w:val="single" w:sz="4" w:space="0" w:color="auto"/>
            </w:tcBorders>
            <w:shd w:val="clear" w:color="auto" w:fill="D9D9D9"/>
            <w:vAlign w:val="top"/>
          </w:tcPr>
          <w:p w14:paraId="75D8701D" w14:textId="77777777" w:rsidR="00030303" w:rsidRPr="00D96D9D" w:rsidRDefault="00030303" w:rsidP="00030303">
            <w:pPr>
              <w:rPr>
                <w:rFonts w:asciiTheme="minorHAnsi" w:hAnsiTheme="minorHAnsi"/>
                <w:color w:val="222222"/>
                <w:sz w:val="19"/>
                <w:szCs w:val="19"/>
              </w:rPr>
            </w:pPr>
            <w:r w:rsidRPr="00D96D9D">
              <w:rPr>
                <w:rFonts w:asciiTheme="minorHAnsi" w:hAnsiTheme="minorHAnsi"/>
                <w:color w:val="222222"/>
                <w:sz w:val="19"/>
                <w:szCs w:val="19"/>
              </w:rPr>
              <w:t>29 August 1931–1 October 1931</w:t>
            </w:r>
          </w:p>
        </w:tc>
      </w:tr>
      <w:tr w:rsidR="00030303" w:rsidRPr="00DB2B77" w14:paraId="60989341" w14:textId="77777777" w:rsidTr="00030303">
        <w:tc>
          <w:tcPr>
            <w:tcW w:w="3759" w:type="pct"/>
            <w:tcBorders>
              <w:top w:val="single" w:sz="4" w:space="0" w:color="auto"/>
              <w:left w:val="single" w:sz="4" w:space="0" w:color="auto"/>
              <w:bottom w:val="single" w:sz="4" w:space="0" w:color="auto"/>
              <w:right w:val="nil"/>
            </w:tcBorders>
            <w:vAlign w:val="top"/>
          </w:tcPr>
          <w:p w14:paraId="60F01CD4" w14:textId="77777777" w:rsidR="00030303" w:rsidRPr="00D96D9D" w:rsidRDefault="00030303" w:rsidP="00030303">
            <w:pPr>
              <w:spacing w:after="0" w:line="240" w:lineRule="auto"/>
              <w:rPr>
                <w:rFonts w:asciiTheme="minorHAnsi" w:eastAsia="Times New Roman" w:hAnsiTheme="minorHAnsi" w:cs="Times New Roman"/>
                <w:color w:val="222222"/>
                <w:w w:val="100"/>
                <w:kern w:val="0"/>
                <w:sz w:val="19"/>
                <w:szCs w:val="19"/>
              </w:rPr>
            </w:pPr>
            <w:r w:rsidRPr="00D96D9D">
              <w:rPr>
                <w:rFonts w:asciiTheme="minorHAnsi" w:hAnsiTheme="minorHAnsi"/>
                <w:color w:val="222222"/>
                <w:sz w:val="19"/>
                <w:szCs w:val="19"/>
              </w:rPr>
              <w:t>Royal Commission on performing rights</w:t>
            </w:r>
          </w:p>
        </w:tc>
        <w:tc>
          <w:tcPr>
            <w:tcW w:w="1241" w:type="pct"/>
            <w:tcBorders>
              <w:top w:val="single" w:sz="4" w:space="0" w:color="auto"/>
              <w:left w:val="nil"/>
              <w:bottom w:val="single" w:sz="4" w:space="0" w:color="auto"/>
              <w:right w:val="single" w:sz="4" w:space="0" w:color="auto"/>
            </w:tcBorders>
            <w:shd w:val="clear" w:color="auto" w:fill="D9D9D9"/>
            <w:vAlign w:val="top"/>
          </w:tcPr>
          <w:p w14:paraId="768ED544" w14:textId="77777777" w:rsidR="00030303" w:rsidRPr="00D96D9D" w:rsidRDefault="00030303" w:rsidP="00030303">
            <w:pPr>
              <w:rPr>
                <w:rFonts w:asciiTheme="minorHAnsi" w:hAnsiTheme="minorHAnsi"/>
                <w:color w:val="222222"/>
                <w:sz w:val="19"/>
                <w:szCs w:val="19"/>
              </w:rPr>
            </w:pPr>
            <w:r w:rsidRPr="00D96D9D">
              <w:rPr>
                <w:rFonts w:asciiTheme="minorHAnsi" w:hAnsiTheme="minorHAnsi"/>
                <w:color w:val="222222"/>
                <w:sz w:val="19"/>
                <w:szCs w:val="19"/>
              </w:rPr>
              <w:t>19 September 1932–24 May 1933</w:t>
            </w:r>
          </w:p>
        </w:tc>
      </w:tr>
      <w:tr w:rsidR="00030303" w:rsidRPr="00DB2B77" w14:paraId="370162AC" w14:textId="77777777" w:rsidTr="00030303">
        <w:tc>
          <w:tcPr>
            <w:tcW w:w="3759" w:type="pct"/>
            <w:tcBorders>
              <w:top w:val="single" w:sz="4" w:space="0" w:color="auto"/>
              <w:left w:val="single" w:sz="4" w:space="0" w:color="auto"/>
              <w:bottom w:val="single" w:sz="4" w:space="0" w:color="auto"/>
              <w:right w:val="nil"/>
            </w:tcBorders>
            <w:vAlign w:val="top"/>
          </w:tcPr>
          <w:p w14:paraId="585600B3" w14:textId="77777777" w:rsidR="00030303" w:rsidRPr="00D96D9D" w:rsidRDefault="00030303" w:rsidP="00030303">
            <w:pPr>
              <w:spacing w:after="0" w:line="240" w:lineRule="auto"/>
              <w:rPr>
                <w:rFonts w:asciiTheme="minorHAnsi" w:eastAsia="Times New Roman" w:hAnsiTheme="minorHAnsi" w:cs="Times New Roman"/>
                <w:color w:val="222222"/>
                <w:w w:val="100"/>
                <w:kern w:val="0"/>
                <w:sz w:val="19"/>
                <w:szCs w:val="19"/>
              </w:rPr>
            </w:pPr>
            <w:r w:rsidRPr="00D96D9D">
              <w:rPr>
                <w:rFonts w:asciiTheme="minorHAnsi" w:hAnsiTheme="minorHAnsi"/>
                <w:color w:val="222222"/>
                <w:sz w:val="19"/>
                <w:szCs w:val="19"/>
              </w:rPr>
              <w:t>Royal Commission on taxation</w:t>
            </w:r>
            <w:r w:rsidRPr="00D96D9D">
              <w:rPr>
                <w:rFonts w:asciiTheme="minorHAnsi" w:hAnsiTheme="minorHAnsi"/>
                <w:color w:val="222222"/>
                <w:sz w:val="19"/>
                <w:szCs w:val="19"/>
              </w:rPr>
              <w:br/>
            </w:r>
          </w:p>
        </w:tc>
        <w:tc>
          <w:tcPr>
            <w:tcW w:w="1241" w:type="pct"/>
            <w:tcBorders>
              <w:top w:val="single" w:sz="4" w:space="0" w:color="auto"/>
              <w:left w:val="nil"/>
              <w:bottom w:val="single" w:sz="4" w:space="0" w:color="auto"/>
              <w:right w:val="single" w:sz="4" w:space="0" w:color="auto"/>
            </w:tcBorders>
            <w:shd w:val="clear" w:color="auto" w:fill="D9D9D9"/>
            <w:vAlign w:val="top"/>
          </w:tcPr>
          <w:p w14:paraId="7665B5EE" w14:textId="77777777" w:rsidR="00030303" w:rsidRPr="00D96D9D" w:rsidRDefault="00030303" w:rsidP="00030303">
            <w:pPr>
              <w:rPr>
                <w:rFonts w:asciiTheme="minorHAnsi" w:hAnsiTheme="minorHAnsi"/>
                <w:color w:val="222222"/>
                <w:sz w:val="19"/>
                <w:szCs w:val="19"/>
              </w:rPr>
            </w:pPr>
            <w:r w:rsidRPr="00D96D9D">
              <w:rPr>
                <w:rFonts w:asciiTheme="minorHAnsi" w:hAnsiTheme="minorHAnsi"/>
                <w:color w:val="222222"/>
                <w:sz w:val="19"/>
                <w:szCs w:val="19"/>
              </w:rPr>
              <w:t>6 October 1932–28 November 1934</w:t>
            </w:r>
          </w:p>
        </w:tc>
      </w:tr>
      <w:tr w:rsidR="00030303" w:rsidRPr="00DB2B77" w14:paraId="1CEFF77B" w14:textId="77777777" w:rsidTr="00030303">
        <w:tc>
          <w:tcPr>
            <w:tcW w:w="3759" w:type="pct"/>
            <w:tcBorders>
              <w:top w:val="single" w:sz="4" w:space="0" w:color="auto"/>
              <w:left w:val="single" w:sz="4" w:space="0" w:color="auto"/>
              <w:bottom w:val="single" w:sz="4" w:space="0" w:color="auto"/>
              <w:right w:val="nil"/>
            </w:tcBorders>
            <w:vAlign w:val="top"/>
          </w:tcPr>
          <w:p w14:paraId="4B333A06" w14:textId="77777777" w:rsidR="00030303" w:rsidRPr="00D96D9D" w:rsidRDefault="00030303" w:rsidP="00030303">
            <w:pPr>
              <w:spacing w:after="0" w:line="240" w:lineRule="auto"/>
              <w:rPr>
                <w:rFonts w:asciiTheme="minorHAnsi" w:eastAsia="Times New Roman" w:hAnsiTheme="minorHAnsi" w:cs="Times New Roman"/>
                <w:color w:val="222222"/>
                <w:w w:val="100"/>
                <w:kern w:val="0"/>
                <w:sz w:val="19"/>
                <w:szCs w:val="19"/>
              </w:rPr>
            </w:pPr>
            <w:r w:rsidRPr="00D96D9D">
              <w:rPr>
                <w:rFonts w:asciiTheme="minorHAnsi" w:hAnsiTheme="minorHAnsi"/>
                <w:color w:val="222222"/>
                <w:sz w:val="19"/>
                <w:szCs w:val="19"/>
              </w:rPr>
              <w:t>Royal Commission on mineral oils and petrol and other products of mineral oils</w:t>
            </w:r>
          </w:p>
        </w:tc>
        <w:tc>
          <w:tcPr>
            <w:tcW w:w="1241" w:type="pct"/>
            <w:tcBorders>
              <w:top w:val="single" w:sz="4" w:space="0" w:color="auto"/>
              <w:left w:val="nil"/>
              <w:bottom w:val="single" w:sz="4" w:space="0" w:color="auto"/>
              <w:right w:val="single" w:sz="4" w:space="0" w:color="auto"/>
            </w:tcBorders>
            <w:shd w:val="clear" w:color="auto" w:fill="D9D9D9"/>
            <w:vAlign w:val="top"/>
          </w:tcPr>
          <w:p w14:paraId="0745D458" w14:textId="77777777" w:rsidR="00030303" w:rsidRPr="00D96D9D" w:rsidRDefault="00030303" w:rsidP="00030303">
            <w:pPr>
              <w:rPr>
                <w:rFonts w:asciiTheme="minorHAnsi" w:hAnsiTheme="minorHAnsi"/>
                <w:color w:val="222222"/>
                <w:sz w:val="19"/>
                <w:szCs w:val="19"/>
              </w:rPr>
            </w:pPr>
            <w:r w:rsidRPr="00D96D9D">
              <w:rPr>
                <w:rFonts w:asciiTheme="minorHAnsi" w:hAnsiTheme="minorHAnsi"/>
                <w:color w:val="222222"/>
                <w:sz w:val="19"/>
                <w:szCs w:val="19"/>
              </w:rPr>
              <w:t>6 April 1933–8 April 1935</w:t>
            </w:r>
          </w:p>
        </w:tc>
      </w:tr>
      <w:tr w:rsidR="00030303" w:rsidRPr="00DB2B77" w14:paraId="306EDC38" w14:textId="77777777" w:rsidTr="00030303">
        <w:tc>
          <w:tcPr>
            <w:tcW w:w="3759" w:type="pct"/>
            <w:tcBorders>
              <w:top w:val="single" w:sz="4" w:space="0" w:color="auto"/>
              <w:left w:val="single" w:sz="4" w:space="0" w:color="auto"/>
              <w:bottom w:val="single" w:sz="4" w:space="0" w:color="auto"/>
              <w:right w:val="nil"/>
            </w:tcBorders>
            <w:vAlign w:val="top"/>
          </w:tcPr>
          <w:p w14:paraId="3CF5F669" w14:textId="77777777" w:rsidR="00030303" w:rsidRPr="00D96D9D" w:rsidRDefault="00030303" w:rsidP="00030303">
            <w:pPr>
              <w:spacing w:after="0" w:line="240" w:lineRule="auto"/>
              <w:rPr>
                <w:rFonts w:asciiTheme="minorHAnsi" w:eastAsia="Times New Roman" w:hAnsiTheme="minorHAnsi" w:cs="Times New Roman"/>
                <w:color w:val="222222"/>
                <w:w w:val="100"/>
                <w:kern w:val="0"/>
                <w:sz w:val="19"/>
                <w:szCs w:val="19"/>
              </w:rPr>
            </w:pPr>
            <w:r w:rsidRPr="00D96D9D">
              <w:rPr>
                <w:rFonts w:asciiTheme="minorHAnsi" w:hAnsiTheme="minorHAnsi"/>
                <w:color w:val="222222"/>
                <w:sz w:val="19"/>
                <w:szCs w:val="19"/>
              </w:rPr>
              <w:t>Royal Commission on the wheat, flour and bread industries</w:t>
            </w:r>
          </w:p>
        </w:tc>
        <w:tc>
          <w:tcPr>
            <w:tcW w:w="1241" w:type="pct"/>
            <w:tcBorders>
              <w:top w:val="single" w:sz="4" w:space="0" w:color="auto"/>
              <w:left w:val="nil"/>
              <w:bottom w:val="single" w:sz="4" w:space="0" w:color="auto"/>
              <w:right w:val="single" w:sz="4" w:space="0" w:color="auto"/>
            </w:tcBorders>
            <w:shd w:val="clear" w:color="auto" w:fill="D9D9D9"/>
            <w:vAlign w:val="top"/>
          </w:tcPr>
          <w:p w14:paraId="42FAF3FC" w14:textId="77777777" w:rsidR="00030303" w:rsidRPr="00D96D9D" w:rsidRDefault="00030303" w:rsidP="00030303">
            <w:pPr>
              <w:rPr>
                <w:rFonts w:asciiTheme="minorHAnsi" w:hAnsiTheme="minorHAnsi"/>
                <w:color w:val="222222"/>
                <w:sz w:val="19"/>
                <w:szCs w:val="19"/>
              </w:rPr>
            </w:pPr>
            <w:r w:rsidRPr="00D96D9D">
              <w:rPr>
                <w:rFonts w:asciiTheme="minorHAnsi" w:hAnsiTheme="minorHAnsi"/>
                <w:color w:val="222222"/>
                <w:sz w:val="19"/>
                <w:szCs w:val="19"/>
              </w:rPr>
              <w:t>25 January 1934–1 April 1936</w:t>
            </w:r>
          </w:p>
        </w:tc>
      </w:tr>
      <w:tr w:rsidR="00030303" w:rsidRPr="00DB2B77" w14:paraId="64DFE36E" w14:textId="77777777" w:rsidTr="00030303">
        <w:tc>
          <w:tcPr>
            <w:tcW w:w="3759" w:type="pct"/>
            <w:tcBorders>
              <w:top w:val="single" w:sz="4" w:space="0" w:color="auto"/>
              <w:left w:val="single" w:sz="4" w:space="0" w:color="auto"/>
              <w:bottom w:val="single" w:sz="4" w:space="0" w:color="auto"/>
              <w:right w:val="nil"/>
            </w:tcBorders>
            <w:vAlign w:val="top"/>
          </w:tcPr>
          <w:p w14:paraId="280329BC" w14:textId="77777777" w:rsidR="00030303" w:rsidRPr="00D96D9D" w:rsidRDefault="00030303" w:rsidP="00030303">
            <w:pPr>
              <w:spacing w:after="0" w:line="240" w:lineRule="auto"/>
              <w:rPr>
                <w:rFonts w:asciiTheme="minorHAnsi" w:eastAsia="Times New Roman" w:hAnsiTheme="minorHAnsi" w:cs="Times New Roman"/>
                <w:color w:val="222222"/>
                <w:w w:val="100"/>
                <w:kern w:val="0"/>
                <w:sz w:val="19"/>
                <w:szCs w:val="19"/>
              </w:rPr>
            </w:pPr>
            <w:r w:rsidRPr="00D96D9D">
              <w:rPr>
                <w:rFonts w:asciiTheme="minorHAnsi" w:hAnsiTheme="minorHAnsi"/>
                <w:color w:val="222222"/>
                <w:sz w:val="19"/>
                <w:szCs w:val="19"/>
              </w:rPr>
              <w:t>Royal Commission appointed to inquire into and report upon the circumstances associated with the retirement of Lieutenant-Commander Alan Dermot Casey from the Royal Australian Navy</w:t>
            </w:r>
          </w:p>
        </w:tc>
        <w:tc>
          <w:tcPr>
            <w:tcW w:w="1241" w:type="pct"/>
            <w:tcBorders>
              <w:top w:val="single" w:sz="4" w:space="0" w:color="auto"/>
              <w:left w:val="nil"/>
              <w:bottom w:val="single" w:sz="4" w:space="0" w:color="auto"/>
              <w:right w:val="single" w:sz="4" w:space="0" w:color="auto"/>
            </w:tcBorders>
            <w:shd w:val="clear" w:color="auto" w:fill="D9D9D9"/>
            <w:vAlign w:val="top"/>
          </w:tcPr>
          <w:p w14:paraId="1C64DF86" w14:textId="77777777" w:rsidR="00030303" w:rsidRPr="00D96D9D" w:rsidRDefault="00030303" w:rsidP="00030303">
            <w:pPr>
              <w:rPr>
                <w:rFonts w:asciiTheme="minorHAnsi" w:hAnsiTheme="minorHAnsi"/>
                <w:color w:val="222222"/>
                <w:sz w:val="19"/>
                <w:szCs w:val="19"/>
              </w:rPr>
            </w:pPr>
            <w:r w:rsidRPr="00D96D9D">
              <w:rPr>
                <w:rFonts w:asciiTheme="minorHAnsi" w:hAnsiTheme="minorHAnsi"/>
                <w:color w:val="222222"/>
                <w:sz w:val="19"/>
                <w:szCs w:val="19"/>
              </w:rPr>
              <w:t>11 July–23 October 1934</w:t>
            </w:r>
          </w:p>
        </w:tc>
      </w:tr>
      <w:tr w:rsidR="00030303" w:rsidRPr="00DB2B77" w14:paraId="23D0F528" w14:textId="77777777" w:rsidTr="00030303">
        <w:tc>
          <w:tcPr>
            <w:tcW w:w="3759" w:type="pct"/>
            <w:tcBorders>
              <w:top w:val="single" w:sz="4" w:space="0" w:color="auto"/>
              <w:left w:val="single" w:sz="4" w:space="0" w:color="auto"/>
              <w:bottom w:val="single" w:sz="4" w:space="0" w:color="auto"/>
              <w:right w:val="nil"/>
            </w:tcBorders>
            <w:vAlign w:val="top"/>
          </w:tcPr>
          <w:p w14:paraId="7C24E54C" w14:textId="77777777" w:rsidR="00030303" w:rsidRPr="00D96D9D" w:rsidRDefault="00030303" w:rsidP="00030303">
            <w:pPr>
              <w:spacing w:after="0" w:line="240" w:lineRule="auto"/>
              <w:rPr>
                <w:rFonts w:asciiTheme="minorHAnsi" w:eastAsia="Times New Roman" w:hAnsiTheme="minorHAnsi" w:cs="Times New Roman"/>
                <w:color w:val="222222"/>
                <w:w w:val="100"/>
                <w:kern w:val="0"/>
                <w:sz w:val="19"/>
                <w:szCs w:val="19"/>
              </w:rPr>
            </w:pPr>
            <w:r w:rsidRPr="00D96D9D">
              <w:rPr>
                <w:rFonts w:asciiTheme="minorHAnsi" w:hAnsiTheme="minorHAnsi"/>
                <w:color w:val="222222"/>
                <w:sz w:val="19"/>
                <w:szCs w:val="19"/>
              </w:rPr>
              <w:t>Royal Commission appointed to inquire into the monetary and banking systems at present in operation in Australia ...</w:t>
            </w:r>
          </w:p>
        </w:tc>
        <w:tc>
          <w:tcPr>
            <w:tcW w:w="1241" w:type="pct"/>
            <w:tcBorders>
              <w:top w:val="single" w:sz="4" w:space="0" w:color="auto"/>
              <w:left w:val="nil"/>
              <w:bottom w:val="single" w:sz="4" w:space="0" w:color="auto"/>
              <w:right w:val="single" w:sz="4" w:space="0" w:color="auto"/>
            </w:tcBorders>
            <w:shd w:val="clear" w:color="auto" w:fill="D9D9D9"/>
            <w:vAlign w:val="top"/>
          </w:tcPr>
          <w:p w14:paraId="2E7D9BDB" w14:textId="77777777" w:rsidR="00030303" w:rsidRPr="00D96D9D" w:rsidRDefault="00030303" w:rsidP="00030303">
            <w:pPr>
              <w:rPr>
                <w:rFonts w:asciiTheme="minorHAnsi" w:hAnsiTheme="minorHAnsi"/>
                <w:color w:val="222222"/>
                <w:sz w:val="19"/>
                <w:szCs w:val="19"/>
              </w:rPr>
            </w:pPr>
            <w:r w:rsidRPr="00D96D9D">
              <w:rPr>
                <w:rFonts w:asciiTheme="minorHAnsi" w:hAnsiTheme="minorHAnsi"/>
                <w:color w:val="222222"/>
                <w:sz w:val="19"/>
                <w:szCs w:val="19"/>
              </w:rPr>
              <w:t>15 November 1935–24 August 1937</w:t>
            </w:r>
          </w:p>
        </w:tc>
      </w:tr>
      <w:tr w:rsidR="00030303" w:rsidRPr="00DB2B77" w14:paraId="1015E167" w14:textId="77777777" w:rsidTr="00030303">
        <w:tc>
          <w:tcPr>
            <w:tcW w:w="3759" w:type="pct"/>
            <w:tcBorders>
              <w:top w:val="single" w:sz="4" w:space="0" w:color="auto"/>
              <w:left w:val="single" w:sz="4" w:space="0" w:color="auto"/>
              <w:bottom w:val="single" w:sz="4" w:space="0" w:color="auto"/>
              <w:right w:val="nil"/>
            </w:tcBorders>
            <w:vAlign w:val="top"/>
          </w:tcPr>
          <w:p w14:paraId="2259B5C8" w14:textId="77777777" w:rsidR="00030303" w:rsidRPr="00D96D9D" w:rsidRDefault="00030303" w:rsidP="00030303">
            <w:pPr>
              <w:spacing w:after="0" w:line="240" w:lineRule="auto"/>
              <w:rPr>
                <w:rFonts w:asciiTheme="minorHAnsi" w:eastAsia="Times New Roman" w:hAnsiTheme="minorHAnsi" w:cs="Times New Roman"/>
                <w:color w:val="222222"/>
                <w:w w:val="100"/>
                <w:kern w:val="0"/>
                <w:sz w:val="19"/>
                <w:szCs w:val="19"/>
              </w:rPr>
            </w:pPr>
            <w:r w:rsidRPr="00D96D9D">
              <w:rPr>
                <w:rFonts w:asciiTheme="minorHAnsi" w:hAnsiTheme="minorHAnsi"/>
                <w:color w:val="222222"/>
                <w:sz w:val="19"/>
                <w:szCs w:val="19"/>
              </w:rPr>
              <w:t xml:space="preserve">Royal Commission on doctors' remuneration for national insurance service and </w:t>
            </w:r>
            <w:proofErr w:type="gramStart"/>
            <w:r w:rsidRPr="00D96D9D">
              <w:rPr>
                <w:rFonts w:asciiTheme="minorHAnsi" w:hAnsiTheme="minorHAnsi"/>
                <w:color w:val="222222"/>
                <w:sz w:val="19"/>
                <w:szCs w:val="19"/>
              </w:rPr>
              <w:t>other</w:t>
            </w:r>
            <w:proofErr w:type="gramEnd"/>
            <w:r w:rsidRPr="00D96D9D">
              <w:rPr>
                <w:rFonts w:asciiTheme="minorHAnsi" w:hAnsiTheme="minorHAnsi"/>
                <w:color w:val="222222"/>
                <w:sz w:val="19"/>
                <w:szCs w:val="19"/>
              </w:rPr>
              <w:t xml:space="preserve"> contract practice</w:t>
            </w:r>
          </w:p>
        </w:tc>
        <w:tc>
          <w:tcPr>
            <w:tcW w:w="1241" w:type="pct"/>
            <w:tcBorders>
              <w:top w:val="single" w:sz="4" w:space="0" w:color="auto"/>
              <w:left w:val="nil"/>
              <w:bottom w:val="single" w:sz="4" w:space="0" w:color="auto"/>
              <w:right w:val="single" w:sz="4" w:space="0" w:color="auto"/>
            </w:tcBorders>
            <w:shd w:val="clear" w:color="auto" w:fill="D9D9D9"/>
            <w:vAlign w:val="top"/>
          </w:tcPr>
          <w:p w14:paraId="669F809C" w14:textId="77777777" w:rsidR="00030303" w:rsidRPr="00D96D9D" w:rsidRDefault="00030303" w:rsidP="00030303">
            <w:pPr>
              <w:rPr>
                <w:rFonts w:asciiTheme="minorHAnsi" w:hAnsiTheme="minorHAnsi"/>
                <w:color w:val="222222"/>
                <w:sz w:val="19"/>
                <w:szCs w:val="19"/>
              </w:rPr>
            </w:pPr>
            <w:r w:rsidRPr="00D96D9D">
              <w:rPr>
                <w:rFonts w:asciiTheme="minorHAnsi" w:hAnsiTheme="minorHAnsi"/>
                <w:color w:val="222222"/>
                <w:sz w:val="19"/>
                <w:szCs w:val="19"/>
              </w:rPr>
              <w:t>18 July 1938–</w:t>
            </w:r>
          </w:p>
        </w:tc>
      </w:tr>
      <w:tr w:rsidR="00030303" w:rsidRPr="00DB2B77" w14:paraId="2DFFD165" w14:textId="77777777" w:rsidTr="00030303">
        <w:tc>
          <w:tcPr>
            <w:tcW w:w="3759" w:type="pct"/>
            <w:tcBorders>
              <w:top w:val="single" w:sz="4" w:space="0" w:color="auto"/>
              <w:left w:val="single" w:sz="4" w:space="0" w:color="auto"/>
              <w:bottom w:val="single" w:sz="4" w:space="0" w:color="auto"/>
              <w:right w:val="nil"/>
            </w:tcBorders>
            <w:vAlign w:val="top"/>
          </w:tcPr>
          <w:p w14:paraId="3274E225" w14:textId="77777777" w:rsidR="00030303" w:rsidRPr="00D96D9D" w:rsidRDefault="00030303" w:rsidP="00030303">
            <w:pPr>
              <w:spacing w:after="0" w:line="240" w:lineRule="auto"/>
              <w:rPr>
                <w:rFonts w:asciiTheme="minorHAnsi" w:eastAsia="Times New Roman" w:hAnsiTheme="minorHAnsi" w:cs="Times New Roman"/>
                <w:color w:val="222222"/>
                <w:w w:val="100"/>
                <w:kern w:val="0"/>
                <w:sz w:val="19"/>
                <w:szCs w:val="19"/>
              </w:rPr>
            </w:pPr>
            <w:r w:rsidRPr="00D96D9D">
              <w:rPr>
                <w:rFonts w:asciiTheme="minorHAnsi" w:hAnsiTheme="minorHAnsi"/>
                <w:color w:val="222222"/>
                <w:sz w:val="19"/>
                <w:szCs w:val="19"/>
              </w:rPr>
              <w:t>Royal Commission regarding the contract for the erection of additions to the General Post Office, Sydney</w:t>
            </w:r>
          </w:p>
        </w:tc>
        <w:tc>
          <w:tcPr>
            <w:tcW w:w="1241" w:type="pct"/>
            <w:tcBorders>
              <w:top w:val="single" w:sz="4" w:space="0" w:color="auto"/>
              <w:left w:val="nil"/>
              <w:bottom w:val="single" w:sz="4" w:space="0" w:color="auto"/>
              <w:right w:val="single" w:sz="4" w:space="0" w:color="auto"/>
            </w:tcBorders>
            <w:shd w:val="clear" w:color="auto" w:fill="D9D9D9"/>
            <w:vAlign w:val="top"/>
          </w:tcPr>
          <w:p w14:paraId="491461FC" w14:textId="77777777" w:rsidR="00030303" w:rsidRPr="00D96D9D" w:rsidRDefault="00030303" w:rsidP="00030303">
            <w:pPr>
              <w:rPr>
                <w:rFonts w:asciiTheme="minorHAnsi" w:hAnsiTheme="minorHAnsi"/>
                <w:color w:val="222222"/>
                <w:sz w:val="19"/>
                <w:szCs w:val="19"/>
              </w:rPr>
            </w:pPr>
            <w:r w:rsidRPr="00D96D9D">
              <w:rPr>
                <w:rFonts w:asciiTheme="minorHAnsi" w:hAnsiTheme="minorHAnsi"/>
                <w:color w:val="222222"/>
                <w:sz w:val="19"/>
                <w:szCs w:val="19"/>
              </w:rPr>
              <w:t>7 June–7 September 1939</w:t>
            </w:r>
          </w:p>
        </w:tc>
      </w:tr>
      <w:tr w:rsidR="00030303" w:rsidRPr="00DB2B77" w14:paraId="369D3F34" w14:textId="77777777" w:rsidTr="00030303">
        <w:tc>
          <w:tcPr>
            <w:tcW w:w="3759" w:type="pct"/>
            <w:tcBorders>
              <w:top w:val="single" w:sz="4" w:space="0" w:color="auto"/>
              <w:left w:val="single" w:sz="4" w:space="0" w:color="auto"/>
              <w:bottom w:val="single" w:sz="4" w:space="0" w:color="auto"/>
              <w:right w:val="nil"/>
            </w:tcBorders>
            <w:vAlign w:val="top"/>
          </w:tcPr>
          <w:p w14:paraId="4A10E928" w14:textId="77777777" w:rsidR="00030303" w:rsidRPr="00D96D9D" w:rsidRDefault="00030303" w:rsidP="00030303">
            <w:pPr>
              <w:spacing w:after="0" w:line="240" w:lineRule="auto"/>
              <w:rPr>
                <w:rFonts w:asciiTheme="minorHAnsi" w:eastAsia="Times New Roman" w:hAnsiTheme="minorHAnsi" w:cs="Times New Roman"/>
                <w:color w:val="222222"/>
                <w:w w:val="100"/>
                <w:kern w:val="0"/>
                <w:sz w:val="19"/>
                <w:szCs w:val="19"/>
              </w:rPr>
            </w:pPr>
            <w:r w:rsidRPr="00D96D9D">
              <w:rPr>
                <w:rFonts w:asciiTheme="minorHAnsi" w:hAnsiTheme="minorHAnsi"/>
                <w:color w:val="222222"/>
                <w:sz w:val="19"/>
                <w:szCs w:val="19"/>
              </w:rPr>
              <w:t xml:space="preserve">Royal Commission to inquire into and report upon the contract or contracts with </w:t>
            </w:r>
            <w:proofErr w:type="spellStart"/>
            <w:r w:rsidRPr="00D96D9D">
              <w:rPr>
                <w:rFonts w:asciiTheme="minorHAnsi" w:hAnsiTheme="minorHAnsi"/>
                <w:color w:val="222222"/>
                <w:sz w:val="19"/>
                <w:szCs w:val="19"/>
              </w:rPr>
              <w:t>Abbco</w:t>
            </w:r>
            <w:proofErr w:type="spellEnd"/>
            <w:r w:rsidRPr="00D96D9D">
              <w:rPr>
                <w:rFonts w:asciiTheme="minorHAnsi" w:hAnsiTheme="minorHAnsi"/>
                <w:color w:val="222222"/>
                <w:sz w:val="19"/>
                <w:szCs w:val="19"/>
              </w:rPr>
              <w:t xml:space="preserve"> Bread Co. Pty. Limited for the supply of bread to the Department of the Army, and other matters</w:t>
            </w:r>
          </w:p>
        </w:tc>
        <w:tc>
          <w:tcPr>
            <w:tcW w:w="1241" w:type="pct"/>
            <w:tcBorders>
              <w:top w:val="single" w:sz="4" w:space="0" w:color="auto"/>
              <w:left w:val="nil"/>
              <w:bottom w:val="single" w:sz="4" w:space="0" w:color="auto"/>
              <w:right w:val="single" w:sz="4" w:space="0" w:color="auto"/>
            </w:tcBorders>
            <w:shd w:val="clear" w:color="auto" w:fill="D9D9D9"/>
            <w:vAlign w:val="top"/>
          </w:tcPr>
          <w:p w14:paraId="05CD78BB" w14:textId="77777777" w:rsidR="00030303" w:rsidRPr="00D96D9D" w:rsidRDefault="00030303" w:rsidP="00030303">
            <w:pPr>
              <w:rPr>
                <w:rFonts w:asciiTheme="minorHAnsi" w:hAnsiTheme="minorHAnsi"/>
                <w:color w:val="222222"/>
                <w:sz w:val="19"/>
                <w:szCs w:val="19"/>
              </w:rPr>
            </w:pPr>
            <w:r w:rsidRPr="00D96D9D">
              <w:rPr>
                <w:rFonts w:asciiTheme="minorHAnsi" w:hAnsiTheme="minorHAnsi"/>
                <w:color w:val="222222"/>
                <w:sz w:val="19"/>
                <w:szCs w:val="19"/>
              </w:rPr>
              <w:t>28 March–21 August 1941</w:t>
            </w:r>
          </w:p>
        </w:tc>
      </w:tr>
      <w:tr w:rsidR="00030303" w:rsidRPr="00DB2B77" w14:paraId="32F4B961" w14:textId="77777777" w:rsidTr="00030303">
        <w:tc>
          <w:tcPr>
            <w:tcW w:w="3759" w:type="pct"/>
            <w:tcBorders>
              <w:top w:val="single" w:sz="4" w:space="0" w:color="auto"/>
              <w:left w:val="single" w:sz="4" w:space="0" w:color="auto"/>
              <w:bottom w:val="single" w:sz="4" w:space="0" w:color="auto"/>
              <w:right w:val="nil"/>
            </w:tcBorders>
            <w:vAlign w:val="top"/>
          </w:tcPr>
          <w:p w14:paraId="498E7A3E" w14:textId="77777777" w:rsidR="00030303" w:rsidRPr="00D96D9D" w:rsidRDefault="00030303" w:rsidP="00030303">
            <w:pPr>
              <w:spacing w:after="0" w:line="240" w:lineRule="auto"/>
              <w:rPr>
                <w:rFonts w:asciiTheme="minorHAnsi" w:eastAsia="Times New Roman" w:hAnsiTheme="minorHAnsi" w:cs="Times New Roman"/>
                <w:color w:val="222222"/>
                <w:w w:val="100"/>
                <w:kern w:val="0"/>
                <w:sz w:val="19"/>
                <w:szCs w:val="19"/>
              </w:rPr>
            </w:pPr>
            <w:r w:rsidRPr="00D96D9D">
              <w:rPr>
                <w:rFonts w:asciiTheme="minorHAnsi" w:hAnsiTheme="minorHAnsi"/>
                <w:color w:val="222222"/>
                <w:sz w:val="19"/>
                <w:szCs w:val="19"/>
              </w:rPr>
              <w:t>Royal Commission to inquire into circumstances under which certain public monies were used and to whom, and for what purposes such moneys were paid ...</w:t>
            </w:r>
          </w:p>
        </w:tc>
        <w:tc>
          <w:tcPr>
            <w:tcW w:w="1241" w:type="pct"/>
            <w:tcBorders>
              <w:top w:val="single" w:sz="4" w:space="0" w:color="auto"/>
              <w:left w:val="nil"/>
              <w:bottom w:val="single" w:sz="4" w:space="0" w:color="auto"/>
              <w:right w:val="single" w:sz="4" w:space="0" w:color="auto"/>
            </w:tcBorders>
            <w:shd w:val="clear" w:color="auto" w:fill="D9D9D9"/>
            <w:vAlign w:val="top"/>
          </w:tcPr>
          <w:p w14:paraId="79F479E2" w14:textId="77777777" w:rsidR="00030303" w:rsidRPr="00D96D9D" w:rsidRDefault="00030303" w:rsidP="00030303">
            <w:pPr>
              <w:rPr>
                <w:rFonts w:asciiTheme="minorHAnsi" w:hAnsiTheme="minorHAnsi"/>
                <w:color w:val="222222"/>
                <w:sz w:val="19"/>
                <w:szCs w:val="19"/>
              </w:rPr>
            </w:pPr>
            <w:r w:rsidRPr="00D96D9D">
              <w:rPr>
                <w:rFonts w:asciiTheme="minorHAnsi" w:hAnsiTheme="minorHAnsi"/>
                <w:color w:val="222222"/>
                <w:sz w:val="19"/>
                <w:szCs w:val="19"/>
              </w:rPr>
              <w:t>27 September–25 November 1941</w:t>
            </w:r>
          </w:p>
        </w:tc>
      </w:tr>
      <w:tr w:rsidR="00030303" w:rsidRPr="00DB2B77" w14:paraId="64764FDB" w14:textId="77777777" w:rsidTr="00030303">
        <w:tc>
          <w:tcPr>
            <w:tcW w:w="3759" w:type="pct"/>
            <w:tcBorders>
              <w:top w:val="single" w:sz="4" w:space="0" w:color="auto"/>
              <w:left w:val="single" w:sz="4" w:space="0" w:color="auto"/>
              <w:bottom w:val="single" w:sz="4" w:space="0" w:color="auto"/>
              <w:right w:val="nil"/>
            </w:tcBorders>
            <w:vAlign w:val="top"/>
          </w:tcPr>
          <w:p w14:paraId="717895D4" w14:textId="77777777" w:rsidR="00030303" w:rsidRPr="00D96D9D" w:rsidRDefault="00030303" w:rsidP="00030303">
            <w:pPr>
              <w:spacing w:after="0" w:line="240" w:lineRule="auto"/>
              <w:rPr>
                <w:rFonts w:asciiTheme="minorHAnsi" w:eastAsia="Times New Roman" w:hAnsiTheme="minorHAnsi" w:cs="Times New Roman"/>
                <w:color w:val="222222"/>
                <w:w w:val="100"/>
                <w:kern w:val="0"/>
                <w:sz w:val="19"/>
                <w:szCs w:val="19"/>
              </w:rPr>
            </w:pPr>
            <w:r w:rsidRPr="00D96D9D">
              <w:rPr>
                <w:rFonts w:asciiTheme="minorHAnsi" w:hAnsiTheme="minorHAnsi"/>
                <w:color w:val="222222"/>
                <w:sz w:val="19"/>
                <w:szCs w:val="19"/>
              </w:rPr>
              <w:lastRenderedPageBreak/>
              <w:t>Royal Commission in the matter of an inquiry into a statement that there was a document missing from the official files in relation to "The Brisbane Line"</w:t>
            </w:r>
          </w:p>
        </w:tc>
        <w:tc>
          <w:tcPr>
            <w:tcW w:w="1241" w:type="pct"/>
            <w:tcBorders>
              <w:top w:val="single" w:sz="4" w:space="0" w:color="auto"/>
              <w:left w:val="nil"/>
              <w:bottom w:val="single" w:sz="4" w:space="0" w:color="auto"/>
              <w:right w:val="single" w:sz="4" w:space="0" w:color="auto"/>
            </w:tcBorders>
            <w:shd w:val="clear" w:color="auto" w:fill="D9D9D9"/>
            <w:vAlign w:val="top"/>
          </w:tcPr>
          <w:p w14:paraId="3A18CCD1" w14:textId="77777777" w:rsidR="00030303" w:rsidRPr="00D96D9D" w:rsidRDefault="00030303" w:rsidP="00030303">
            <w:pPr>
              <w:rPr>
                <w:rFonts w:asciiTheme="minorHAnsi" w:hAnsiTheme="minorHAnsi"/>
                <w:color w:val="222222"/>
                <w:sz w:val="19"/>
                <w:szCs w:val="19"/>
              </w:rPr>
            </w:pPr>
            <w:r w:rsidRPr="00D96D9D">
              <w:rPr>
                <w:rFonts w:asciiTheme="minorHAnsi" w:hAnsiTheme="minorHAnsi"/>
                <w:color w:val="222222"/>
                <w:sz w:val="19"/>
                <w:szCs w:val="19"/>
              </w:rPr>
              <w:t>29 June–28 September 1943</w:t>
            </w:r>
          </w:p>
        </w:tc>
      </w:tr>
      <w:tr w:rsidR="00030303" w:rsidRPr="00DB2B77" w14:paraId="6F4B9853" w14:textId="77777777" w:rsidTr="00030303">
        <w:tc>
          <w:tcPr>
            <w:tcW w:w="3759" w:type="pct"/>
            <w:tcBorders>
              <w:top w:val="single" w:sz="4" w:space="0" w:color="auto"/>
              <w:left w:val="single" w:sz="4" w:space="0" w:color="auto"/>
              <w:bottom w:val="single" w:sz="4" w:space="0" w:color="auto"/>
              <w:right w:val="nil"/>
            </w:tcBorders>
            <w:vAlign w:val="top"/>
          </w:tcPr>
          <w:p w14:paraId="29E26DE9" w14:textId="77777777" w:rsidR="00030303" w:rsidRPr="00D96D9D" w:rsidRDefault="00030303" w:rsidP="00030303">
            <w:pPr>
              <w:spacing w:after="0" w:line="240" w:lineRule="auto"/>
              <w:rPr>
                <w:rFonts w:asciiTheme="minorHAnsi" w:eastAsia="Times New Roman" w:hAnsiTheme="minorHAnsi" w:cs="Times New Roman"/>
                <w:color w:val="222222"/>
                <w:w w:val="100"/>
                <w:kern w:val="0"/>
                <w:sz w:val="19"/>
                <w:szCs w:val="19"/>
              </w:rPr>
            </w:pPr>
            <w:r w:rsidRPr="00D96D9D">
              <w:rPr>
                <w:rFonts w:asciiTheme="minorHAnsi" w:hAnsiTheme="minorHAnsi"/>
                <w:color w:val="222222"/>
                <w:sz w:val="19"/>
                <w:szCs w:val="19"/>
              </w:rPr>
              <w:t>Royal Commission to inquire into and report upon certain transactions of the Sydney Land Sales Control Office, and the Canberra Land Sales Control Office of the Treasury</w:t>
            </w:r>
          </w:p>
        </w:tc>
        <w:tc>
          <w:tcPr>
            <w:tcW w:w="1241" w:type="pct"/>
            <w:tcBorders>
              <w:top w:val="single" w:sz="4" w:space="0" w:color="auto"/>
              <w:left w:val="nil"/>
              <w:bottom w:val="single" w:sz="4" w:space="0" w:color="auto"/>
              <w:right w:val="single" w:sz="4" w:space="0" w:color="auto"/>
            </w:tcBorders>
            <w:shd w:val="clear" w:color="auto" w:fill="D9D9D9"/>
            <w:vAlign w:val="top"/>
          </w:tcPr>
          <w:p w14:paraId="6E9F45F4" w14:textId="77777777" w:rsidR="00030303" w:rsidRPr="00D96D9D" w:rsidRDefault="00030303" w:rsidP="00030303">
            <w:pPr>
              <w:rPr>
                <w:rFonts w:asciiTheme="minorHAnsi" w:hAnsiTheme="minorHAnsi"/>
                <w:color w:val="222222"/>
                <w:sz w:val="19"/>
                <w:szCs w:val="19"/>
              </w:rPr>
            </w:pPr>
            <w:r w:rsidRPr="00D96D9D">
              <w:rPr>
                <w:rFonts w:asciiTheme="minorHAnsi" w:hAnsiTheme="minorHAnsi"/>
                <w:color w:val="222222"/>
                <w:sz w:val="19"/>
                <w:szCs w:val="19"/>
              </w:rPr>
              <w:t>13 June–25 September 1947</w:t>
            </w:r>
          </w:p>
        </w:tc>
      </w:tr>
      <w:tr w:rsidR="00030303" w:rsidRPr="00DB2B77" w14:paraId="7B473AEF" w14:textId="77777777" w:rsidTr="00030303">
        <w:tc>
          <w:tcPr>
            <w:tcW w:w="3759" w:type="pct"/>
            <w:tcBorders>
              <w:top w:val="single" w:sz="4" w:space="0" w:color="auto"/>
              <w:left w:val="single" w:sz="4" w:space="0" w:color="auto"/>
              <w:bottom w:val="single" w:sz="4" w:space="0" w:color="auto"/>
              <w:right w:val="nil"/>
            </w:tcBorders>
            <w:vAlign w:val="top"/>
          </w:tcPr>
          <w:p w14:paraId="421F9D91" w14:textId="77777777" w:rsidR="00030303" w:rsidRPr="00D96D9D" w:rsidRDefault="00030303" w:rsidP="00030303">
            <w:pPr>
              <w:spacing w:after="0" w:line="240" w:lineRule="auto"/>
              <w:rPr>
                <w:rFonts w:asciiTheme="minorHAnsi" w:eastAsia="Times New Roman" w:hAnsiTheme="minorHAnsi" w:cs="Times New Roman"/>
                <w:color w:val="222222"/>
                <w:w w:val="100"/>
                <w:kern w:val="0"/>
                <w:sz w:val="19"/>
                <w:szCs w:val="19"/>
              </w:rPr>
            </w:pPr>
            <w:r w:rsidRPr="00D96D9D">
              <w:rPr>
                <w:rFonts w:asciiTheme="minorHAnsi" w:hAnsiTheme="minorHAnsi"/>
                <w:color w:val="222222"/>
                <w:sz w:val="19"/>
                <w:szCs w:val="19"/>
              </w:rPr>
              <w:t>Royal Commission appointed to inquire into certain transactions in relation to timber rights in the Territory of Papua-New Guinea</w:t>
            </w:r>
          </w:p>
        </w:tc>
        <w:tc>
          <w:tcPr>
            <w:tcW w:w="1241" w:type="pct"/>
            <w:tcBorders>
              <w:top w:val="single" w:sz="4" w:space="0" w:color="auto"/>
              <w:left w:val="nil"/>
              <w:bottom w:val="single" w:sz="4" w:space="0" w:color="auto"/>
              <w:right w:val="single" w:sz="4" w:space="0" w:color="auto"/>
            </w:tcBorders>
            <w:shd w:val="clear" w:color="auto" w:fill="D9D9D9"/>
            <w:vAlign w:val="top"/>
          </w:tcPr>
          <w:p w14:paraId="51EC8F6D" w14:textId="77777777" w:rsidR="00030303" w:rsidRPr="00D96D9D" w:rsidRDefault="00030303" w:rsidP="00030303">
            <w:pPr>
              <w:rPr>
                <w:rFonts w:asciiTheme="minorHAnsi" w:hAnsiTheme="minorHAnsi"/>
                <w:color w:val="222222"/>
                <w:sz w:val="19"/>
                <w:szCs w:val="19"/>
              </w:rPr>
            </w:pPr>
            <w:r w:rsidRPr="00D96D9D">
              <w:rPr>
                <w:rFonts w:asciiTheme="minorHAnsi" w:hAnsiTheme="minorHAnsi"/>
                <w:color w:val="222222"/>
                <w:sz w:val="19"/>
                <w:szCs w:val="19"/>
              </w:rPr>
              <w:t>11 January–24 June 1949</w:t>
            </w:r>
          </w:p>
        </w:tc>
      </w:tr>
      <w:tr w:rsidR="00030303" w:rsidRPr="00DB2B77" w14:paraId="2A45BA0A" w14:textId="77777777" w:rsidTr="00030303">
        <w:tc>
          <w:tcPr>
            <w:tcW w:w="3759" w:type="pct"/>
            <w:tcBorders>
              <w:top w:val="single" w:sz="4" w:space="0" w:color="auto"/>
              <w:left w:val="single" w:sz="4" w:space="0" w:color="auto"/>
              <w:bottom w:val="single" w:sz="4" w:space="0" w:color="auto"/>
              <w:right w:val="nil"/>
            </w:tcBorders>
            <w:vAlign w:val="top"/>
          </w:tcPr>
          <w:p w14:paraId="76ACEA11" w14:textId="77777777" w:rsidR="00030303" w:rsidRPr="00D96D9D" w:rsidRDefault="00030303" w:rsidP="00030303">
            <w:pPr>
              <w:spacing w:after="0" w:line="240" w:lineRule="auto"/>
              <w:rPr>
                <w:rFonts w:asciiTheme="minorHAnsi" w:eastAsia="Times New Roman" w:hAnsiTheme="minorHAnsi" w:cs="Times New Roman"/>
                <w:color w:val="222222"/>
                <w:w w:val="100"/>
                <w:kern w:val="0"/>
                <w:sz w:val="19"/>
                <w:szCs w:val="19"/>
              </w:rPr>
            </w:pPr>
            <w:r w:rsidRPr="00D96D9D">
              <w:rPr>
                <w:rFonts w:asciiTheme="minorHAnsi" w:hAnsiTheme="minorHAnsi"/>
                <w:color w:val="222222"/>
                <w:sz w:val="19"/>
                <w:szCs w:val="19"/>
              </w:rPr>
              <w:t>Royal Commission on the Port Augusta to Alice Springs Railway</w:t>
            </w:r>
          </w:p>
        </w:tc>
        <w:tc>
          <w:tcPr>
            <w:tcW w:w="1241" w:type="pct"/>
            <w:tcBorders>
              <w:top w:val="single" w:sz="4" w:space="0" w:color="auto"/>
              <w:left w:val="nil"/>
              <w:bottom w:val="single" w:sz="4" w:space="0" w:color="auto"/>
              <w:right w:val="single" w:sz="4" w:space="0" w:color="auto"/>
            </w:tcBorders>
            <w:shd w:val="clear" w:color="auto" w:fill="D9D9D9"/>
            <w:vAlign w:val="top"/>
          </w:tcPr>
          <w:p w14:paraId="629C8922" w14:textId="77777777" w:rsidR="00030303" w:rsidRPr="00D96D9D" w:rsidRDefault="00030303" w:rsidP="00030303">
            <w:pPr>
              <w:rPr>
                <w:rFonts w:asciiTheme="minorHAnsi" w:hAnsiTheme="minorHAnsi"/>
                <w:color w:val="222222"/>
                <w:sz w:val="19"/>
                <w:szCs w:val="19"/>
              </w:rPr>
            </w:pPr>
            <w:r w:rsidRPr="00D96D9D">
              <w:rPr>
                <w:rFonts w:asciiTheme="minorHAnsi" w:hAnsiTheme="minorHAnsi"/>
                <w:color w:val="222222"/>
                <w:sz w:val="19"/>
                <w:szCs w:val="19"/>
              </w:rPr>
              <w:t>June 1951–9 July 1952</w:t>
            </w:r>
          </w:p>
        </w:tc>
      </w:tr>
      <w:tr w:rsidR="00030303" w:rsidRPr="00DB2B77" w14:paraId="675EFF43" w14:textId="77777777" w:rsidTr="00030303">
        <w:tc>
          <w:tcPr>
            <w:tcW w:w="3759" w:type="pct"/>
            <w:tcBorders>
              <w:top w:val="single" w:sz="4" w:space="0" w:color="auto"/>
              <w:left w:val="single" w:sz="4" w:space="0" w:color="auto"/>
              <w:bottom w:val="single" w:sz="4" w:space="0" w:color="auto"/>
              <w:right w:val="nil"/>
            </w:tcBorders>
            <w:vAlign w:val="top"/>
          </w:tcPr>
          <w:p w14:paraId="4FFEDF8F" w14:textId="77777777" w:rsidR="00030303" w:rsidRPr="00D96D9D" w:rsidRDefault="00030303" w:rsidP="00030303">
            <w:pPr>
              <w:spacing w:after="0" w:line="240" w:lineRule="auto"/>
              <w:rPr>
                <w:rFonts w:asciiTheme="minorHAnsi" w:eastAsia="Times New Roman" w:hAnsiTheme="minorHAnsi" w:cs="Times New Roman"/>
                <w:color w:val="222222"/>
                <w:w w:val="100"/>
                <w:kern w:val="0"/>
                <w:sz w:val="19"/>
                <w:szCs w:val="19"/>
              </w:rPr>
            </w:pPr>
            <w:r w:rsidRPr="00D96D9D">
              <w:rPr>
                <w:rFonts w:asciiTheme="minorHAnsi" w:hAnsiTheme="minorHAnsi"/>
                <w:color w:val="222222"/>
                <w:sz w:val="19"/>
                <w:szCs w:val="19"/>
              </w:rPr>
              <w:t>Royal Commission on television</w:t>
            </w:r>
          </w:p>
        </w:tc>
        <w:tc>
          <w:tcPr>
            <w:tcW w:w="1241" w:type="pct"/>
            <w:tcBorders>
              <w:top w:val="single" w:sz="4" w:space="0" w:color="auto"/>
              <w:left w:val="nil"/>
              <w:bottom w:val="single" w:sz="4" w:space="0" w:color="auto"/>
              <w:right w:val="single" w:sz="4" w:space="0" w:color="auto"/>
            </w:tcBorders>
            <w:shd w:val="clear" w:color="auto" w:fill="D9D9D9"/>
            <w:vAlign w:val="top"/>
          </w:tcPr>
          <w:p w14:paraId="7FD34730" w14:textId="77777777" w:rsidR="00030303" w:rsidRPr="00D96D9D" w:rsidRDefault="00030303" w:rsidP="00030303">
            <w:pPr>
              <w:rPr>
                <w:rFonts w:asciiTheme="minorHAnsi" w:hAnsiTheme="minorHAnsi"/>
                <w:color w:val="222222"/>
                <w:sz w:val="19"/>
                <w:szCs w:val="19"/>
              </w:rPr>
            </w:pPr>
            <w:r w:rsidRPr="00D96D9D">
              <w:rPr>
                <w:rFonts w:asciiTheme="minorHAnsi" w:hAnsiTheme="minorHAnsi"/>
                <w:color w:val="222222"/>
                <w:sz w:val="19"/>
                <w:szCs w:val="19"/>
              </w:rPr>
              <w:t>11 February 1953–29 September 1954</w:t>
            </w:r>
          </w:p>
        </w:tc>
      </w:tr>
      <w:tr w:rsidR="00030303" w:rsidRPr="00DB2B77" w14:paraId="4B9015AE" w14:textId="77777777" w:rsidTr="00030303">
        <w:tc>
          <w:tcPr>
            <w:tcW w:w="3759" w:type="pct"/>
            <w:tcBorders>
              <w:top w:val="single" w:sz="4" w:space="0" w:color="auto"/>
              <w:left w:val="single" w:sz="4" w:space="0" w:color="auto"/>
              <w:bottom w:val="single" w:sz="4" w:space="0" w:color="auto"/>
              <w:right w:val="nil"/>
            </w:tcBorders>
            <w:vAlign w:val="top"/>
          </w:tcPr>
          <w:p w14:paraId="42738CE0" w14:textId="77777777" w:rsidR="00030303" w:rsidRPr="00D96D9D" w:rsidRDefault="00030303" w:rsidP="00030303">
            <w:pPr>
              <w:spacing w:after="0" w:line="240" w:lineRule="auto"/>
              <w:rPr>
                <w:rFonts w:asciiTheme="minorHAnsi" w:eastAsia="Times New Roman" w:hAnsiTheme="minorHAnsi" w:cs="Times New Roman"/>
                <w:color w:val="222222"/>
                <w:w w:val="100"/>
                <w:kern w:val="0"/>
                <w:sz w:val="19"/>
                <w:szCs w:val="19"/>
              </w:rPr>
            </w:pPr>
            <w:r w:rsidRPr="00D96D9D">
              <w:rPr>
                <w:rFonts w:asciiTheme="minorHAnsi" w:hAnsiTheme="minorHAnsi"/>
                <w:color w:val="222222"/>
                <w:sz w:val="19"/>
                <w:szCs w:val="19"/>
              </w:rPr>
              <w:t>Royal Commission on espionage</w:t>
            </w:r>
          </w:p>
        </w:tc>
        <w:tc>
          <w:tcPr>
            <w:tcW w:w="1241" w:type="pct"/>
            <w:tcBorders>
              <w:top w:val="single" w:sz="4" w:space="0" w:color="auto"/>
              <w:left w:val="nil"/>
              <w:bottom w:val="single" w:sz="4" w:space="0" w:color="auto"/>
              <w:right w:val="single" w:sz="4" w:space="0" w:color="auto"/>
            </w:tcBorders>
            <w:shd w:val="clear" w:color="auto" w:fill="D9D9D9"/>
            <w:vAlign w:val="top"/>
          </w:tcPr>
          <w:p w14:paraId="65F0378D" w14:textId="77777777" w:rsidR="00030303" w:rsidRPr="00D96D9D" w:rsidRDefault="00030303" w:rsidP="00030303">
            <w:pPr>
              <w:rPr>
                <w:rFonts w:asciiTheme="minorHAnsi" w:hAnsiTheme="minorHAnsi"/>
                <w:color w:val="222222"/>
                <w:sz w:val="19"/>
                <w:szCs w:val="19"/>
              </w:rPr>
            </w:pPr>
            <w:r w:rsidRPr="00D96D9D">
              <w:rPr>
                <w:rFonts w:asciiTheme="minorHAnsi" w:hAnsiTheme="minorHAnsi"/>
                <w:color w:val="222222"/>
                <w:sz w:val="19"/>
                <w:szCs w:val="19"/>
              </w:rPr>
              <w:t>3 May 1954–14 September 1955</w:t>
            </w:r>
          </w:p>
        </w:tc>
      </w:tr>
      <w:tr w:rsidR="00030303" w:rsidRPr="00DB2B77" w14:paraId="4735BF8E" w14:textId="77777777" w:rsidTr="00030303">
        <w:tc>
          <w:tcPr>
            <w:tcW w:w="3759" w:type="pct"/>
            <w:tcBorders>
              <w:top w:val="single" w:sz="4" w:space="0" w:color="auto"/>
              <w:left w:val="single" w:sz="4" w:space="0" w:color="auto"/>
              <w:bottom w:val="single" w:sz="4" w:space="0" w:color="auto"/>
              <w:right w:val="nil"/>
            </w:tcBorders>
            <w:vAlign w:val="top"/>
          </w:tcPr>
          <w:p w14:paraId="719C9EE8" w14:textId="77777777" w:rsidR="00030303" w:rsidRPr="00D96D9D" w:rsidRDefault="00030303" w:rsidP="00030303">
            <w:pPr>
              <w:spacing w:after="0" w:line="240" w:lineRule="auto"/>
              <w:rPr>
                <w:rFonts w:asciiTheme="minorHAnsi" w:eastAsia="Times New Roman" w:hAnsiTheme="minorHAnsi" w:cs="Times New Roman"/>
                <w:color w:val="222222"/>
                <w:w w:val="100"/>
                <w:kern w:val="0"/>
                <w:sz w:val="19"/>
                <w:szCs w:val="19"/>
              </w:rPr>
            </w:pPr>
            <w:r w:rsidRPr="00D96D9D">
              <w:rPr>
                <w:rFonts w:asciiTheme="minorHAnsi" w:hAnsiTheme="minorHAnsi"/>
                <w:color w:val="222222"/>
                <w:sz w:val="19"/>
                <w:szCs w:val="19"/>
              </w:rPr>
              <w:t>Royal Commission on alleged improper practices and improper refusal to co-operate with the Victoria Police Force on the part of persons employed in the Postmaster-General's Department in Victoria in relation to illegal gambling</w:t>
            </w:r>
          </w:p>
        </w:tc>
        <w:tc>
          <w:tcPr>
            <w:tcW w:w="1241" w:type="pct"/>
            <w:tcBorders>
              <w:top w:val="single" w:sz="4" w:space="0" w:color="auto"/>
              <w:left w:val="nil"/>
              <w:bottom w:val="single" w:sz="4" w:space="0" w:color="auto"/>
              <w:right w:val="single" w:sz="4" w:space="0" w:color="auto"/>
            </w:tcBorders>
            <w:shd w:val="clear" w:color="auto" w:fill="D9D9D9"/>
            <w:vAlign w:val="top"/>
          </w:tcPr>
          <w:p w14:paraId="20891D4C" w14:textId="77777777" w:rsidR="00030303" w:rsidRPr="00D96D9D" w:rsidRDefault="00030303" w:rsidP="00030303">
            <w:pPr>
              <w:rPr>
                <w:rFonts w:asciiTheme="minorHAnsi" w:hAnsiTheme="minorHAnsi"/>
                <w:color w:val="222222"/>
                <w:sz w:val="19"/>
                <w:szCs w:val="19"/>
              </w:rPr>
            </w:pPr>
            <w:r w:rsidRPr="00D96D9D">
              <w:rPr>
                <w:rFonts w:asciiTheme="minorHAnsi" w:hAnsiTheme="minorHAnsi"/>
                <w:color w:val="222222"/>
                <w:sz w:val="19"/>
                <w:szCs w:val="19"/>
              </w:rPr>
              <w:t>23 May 1962–23 May 1963</w:t>
            </w:r>
          </w:p>
        </w:tc>
      </w:tr>
      <w:tr w:rsidR="00030303" w:rsidRPr="00DB2B77" w14:paraId="02A02145" w14:textId="77777777" w:rsidTr="00030303">
        <w:tc>
          <w:tcPr>
            <w:tcW w:w="3759" w:type="pct"/>
            <w:tcBorders>
              <w:top w:val="single" w:sz="4" w:space="0" w:color="auto"/>
              <w:left w:val="single" w:sz="4" w:space="0" w:color="auto"/>
              <w:bottom w:val="single" w:sz="4" w:space="0" w:color="auto"/>
              <w:right w:val="nil"/>
            </w:tcBorders>
            <w:vAlign w:val="top"/>
          </w:tcPr>
          <w:p w14:paraId="74028758" w14:textId="77777777" w:rsidR="00030303" w:rsidRPr="00D96D9D" w:rsidRDefault="00030303" w:rsidP="00030303">
            <w:pPr>
              <w:spacing w:after="0" w:line="240" w:lineRule="auto"/>
              <w:rPr>
                <w:rFonts w:asciiTheme="minorHAnsi" w:eastAsia="Times New Roman" w:hAnsiTheme="minorHAnsi" w:cs="Times New Roman"/>
                <w:color w:val="222222"/>
                <w:w w:val="100"/>
                <w:kern w:val="0"/>
                <w:sz w:val="19"/>
                <w:szCs w:val="19"/>
              </w:rPr>
            </w:pPr>
            <w:r w:rsidRPr="00D96D9D">
              <w:rPr>
                <w:rFonts w:asciiTheme="minorHAnsi" w:hAnsiTheme="minorHAnsi"/>
                <w:color w:val="222222"/>
                <w:sz w:val="19"/>
                <w:szCs w:val="19"/>
              </w:rPr>
              <w:t>Royal Commission on loss of H.M.A.S. Voyager</w:t>
            </w:r>
          </w:p>
        </w:tc>
        <w:tc>
          <w:tcPr>
            <w:tcW w:w="1241" w:type="pct"/>
            <w:tcBorders>
              <w:top w:val="single" w:sz="4" w:space="0" w:color="auto"/>
              <w:left w:val="nil"/>
              <w:bottom w:val="single" w:sz="4" w:space="0" w:color="auto"/>
              <w:right w:val="single" w:sz="4" w:space="0" w:color="auto"/>
            </w:tcBorders>
            <w:shd w:val="clear" w:color="auto" w:fill="D9D9D9"/>
            <w:vAlign w:val="top"/>
          </w:tcPr>
          <w:p w14:paraId="200F363A" w14:textId="77777777" w:rsidR="00030303" w:rsidRPr="00D96D9D" w:rsidRDefault="00030303" w:rsidP="00030303">
            <w:pPr>
              <w:rPr>
                <w:rFonts w:asciiTheme="minorHAnsi" w:hAnsiTheme="minorHAnsi"/>
                <w:color w:val="222222"/>
                <w:sz w:val="19"/>
                <w:szCs w:val="19"/>
              </w:rPr>
            </w:pPr>
            <w:r w:rsidRPr="00D96D9D">
              <w:rPr>
                <w:rFonts w:asciiTheme="minorHAnsi" w:hAnsiTheme="minorHAnsi"/>
                <w:color w:val="222222"/>
                <w:sz w:val="19"/>
                <w:szCs w:val="19"/>
              </w:rPr>
              <w:t>14 February–26 August 1964</w:t>
            </w:r>
          </w:p>
        </w:tc>
      </w:tr>
      <w:tr w:rsidR="00030303" w:rsidRPr="00DB2B77" w14:paraId="56E73278" w14:textId="77777777" w:rsidTr="00030303">
        <w:tc>
          <w:tcPr>
            <w:tcW w:w="3759" w:type="pct"/>
            <w:tcBorders>
              <w:top w:val="single" w:sz="4" w:space="0" w:color="auto"/>
              <w:left w:val="single" w:sz="4" w:space="0" w:color="auto"/>
              <w:bottom w:val="single" w:sz="4" w:space="0" w:color="auto"/>
              <w:right w:val="nil"/>
            </w:tcBorders>
            <w:vAlign w:val="top"/>
          </w:tcPr>
          <w:p w14:paraId="54291182" w14:textId="77777777" w:rsidR="00030303" w:rsidRPr="00D96D9D" w:rsidRDefault="00030303" w:rsidP="00030303">
            <w:pPr>
              <w:spacing w:after="0" w:line="240" w:lineRule="auto"/>
              <w:rPr>
                <w:rFonts w:asciiTheme="minorHAnsi" w:eastAsia="Times New Roman" w:hAnsiTheme="minorHAnsi" w:cs="Times New Roman"/>
                <w:color w:val="222222"/>
                <w:w w:val="100"/>
                <w:kern w:val="0"/>
                <w:sz w:val="19"/>
                <w:szCs w:val="19"/>
              </w:rPr>
            </w:pPr>
            <w:r w:rsidRPr="00D96D9D">
              <w:rPr>
                <w:rFonts w:asciiTheme="minorHAnsi" w:hAnsiTheme="minorHAnsi"/>
                <w:color w:val="222222"/>
                <w:sz w:val="19"/>
                <w:szCs w:val="19"/>
              </w:rPr>
              <w:t xml:space="preserve">Royal Commission on the statement of Lieutenant Commander </w:t>
            </w:r>
            <w:proofErr w:type="spellStart"/>
            <w:r w:rsidRPr="00D96D9D">
              <w:rPr>
                <w:rFonts w:asciiTheme="minorHAnsi" w:hAnsiTheme="minorHAnsi"/>
                <w:color w:val="222222"/>
                <w:sz w:val="19"/>
                <w:szCs w:val="19"/>
              </w:rPr>
              <w:t>Cabban</w:t>
            </w:r>
            <w:proofErr w:type="spellEnd"/>
            <w:r w:rsidRPr="00D96D9D">
              <w:rPr>
                <w:rFonts w:asciiTheme="minorHAnsi" w:hAnsiTheme="minorHAnsi"/>
                <w:color w:val="222222"/>
                <w:sz w:val="19"/>
                <w:szCs w:val="19"/>
              </w:rPr>
              <w:t xml:space="preserve"> and matters incidental thereto</w:t>
            </w:r>
          </w:p>
        </w:tc>
        <w:tc>
          <w:tcPr>
            <w:tcW w:w="1241" w:type="pct"/>
            <w:tcBorders>
              <w:top w:val="single" w:sz="4" w:space="0" w:color="auto"/>
              <w:left w:val="nil"/>
              <w:bottom w:val="single" w:sz="4" w:space="0" w:color="auto"/>
              <w:right w:val="single" w:sz="4" w:space="0" w:color="auto"/>
            </w:tcBorders>
            <w:shd w:val="clear" w:color="auto" w:fill="D9D9D9"/>
            <w:vAlign w:val="top"/>
          </w:tcPr>
          <w:p w14:paraId="46917FF8" w14:textId="77777777" w:rsidR="00030303" w:rsidRPr="00D96D9D" w:rsidRDefault="00030303" w:rsidP="00030303">
            <w:pPr>
              <w:rPr>
                <w:rFonts w:asciiTheme="minorHAnsi" w:hAnsiTheme="minorHAnsi"/>
                <w:color w:val="222222"/>
                <w:sz w:val="19"/>
                <w:szCs w:val="19"/>
              </w:rPr>
            </w:pPr>
            <w:r w:rsidRPr="00D96D9D">
              <w:rPr>
                <w:rFonts w:asciiTheme="minorHAnsi" w:hAnsiTheme="minorHAnsi"/>
                <w:color w:val="222222"/>
                <w:sz w:val="19"/>
                <w:szCs w:val="19"/>
              </w:rPr>
              <w:t>31 May 1967–13 March 1968</w:t>
            </w:r>
          </w:p>
        </w:tc>
      </w:tr>
      <w:tr w:rsidR="00030303" w:rsidRPr="00DB2B77" w14:paraId="6600F591" w14:textId="77777777" w:rsidTr="00030303">
        <w:tc>
          <w:tcPr>
            <w:tcW w:w="3759" w:type="pct"/>
            <w:tcBorders>
              <w:top w:val="single" w:sz="4" w:space="0" w:color="auto"/>
              <w:left w:val="single" w:sz="4" w:space="0" w:color="auto"/>
              <w:bottom w:val="single" w:sz="4" w:space="0" w:color="auto"/>
              <w:right w:val="nil"/>
            </w:tcBorders>
            <w:vAlign w:val="top"/>
          </w:tcPr>
          <w:p w14:paraId="7E881C94" w14:textId="77777777" w:rsidR="00030303" w:rsidRPr="00D96D9D" w:rsidRDefault="00030303" w:rsidP="00030303">
            <w:pPr>
              <w:spacing w:after="0" w:line="240" w:lineRule="auto"/>
              <w:rPr>
                <w:rFonts w:asciiTheme="minorHAnsi" w:eastAsia="Times New Roman" w:hAnsiTheme="minorHAnsi" w:cs="Times New Roman"/>
                <w:color w:val="222222"/>
                <w:w w:val="100"/>
                <w:kern w:val="0"/>
                <w:sz w:val="19"/>
                <w:szCs w:val="19"/>
              </w:rPr>
            </w:pPr>
            <w:r w:rsidRPr="00D96D9D">
              <w:rPr>
                <w:rFonts w:asciiTheme="minorHAnsi" w:hAnsiTheme="minorHAnsi"/>
                <w:color w:val="222222"/>
                <w:sz w:val="19"/>
                <w:szCs w:val="19"/>
              </w:rPr>
              <w:t>Royal Commissions into exploratory and production drilling for petroleum in the area of the Great Barrier Reef</w:t>
            </w:r>
          </w:p>
        </w:tc>
        <w:tc>
          <w:tcPr>
            <w:tcW w:w="1241" w:type="pct"/>
            <w:tcBorders>
              <w:top w:val="single" w:sz="4" w:space="0" w:color="auto"/>
              <w:left w:val="nil"/>
              <w:bottom w:val="single" w:sz="4" w:space="0" w:color="auto"/>
              <w:right w:val="single" w:sz="4" w:space="0" w:color="auto"/>
            </w:tcBorders>
            <w:shd w:val="clear" w:color="auto" w:fill="D9D9D9"/>
            <w:vAlign w:val="top"/>
          </w:tcPr>
          <w:p w14:paraId="46BD44B0" w14:textId="77777777" w:rsidR="00030303" w:rsidRPr="00D96D9D" w:rsidRDefault="00030303" w:rsidP="00030303">
            <w:pPr>
              <w:rPr>
                <w:rFonts w:asciiTheme="minorHAnsi" w:hAnsiTheme="minorHAnsi"/>
                <w:color w:val="222222"/>
                <w:sz w:val="19"/>
                <w:szCs w:val="19"/>
              </w:rPr>
            </w:pPr>
            <w:r w:rsidRPr="00D96D9D">
              <w:rPr>
                <w:rFonts w:asciiTheme="minorHAnsi" w:hAnsiTheme="minorHAnsi"/>
                <w:color w:val="222222"/>
                <w:sz w:val="19"/>
                <w:szCs w:val="19"/>
              </w:rPr>
              <w:t>5 May 1970–11 February 1975</w:t>
            </w:r>
          </w:p>
        </w:tc>
      </w:tr>
      <w:tr w:rsidR="00030303" w:rsidRPr="00DB2B77" w14:paraId="33FAED93" w14:textId="77777777" w:rsidTr="00030303">
        <w:tc>
          <w:tcPr>
            <w:tcW w:w="3759" w:type="pct"/>
            <w:tcBorders>
              <w:top w:val="single" w:sz="4" w:space="0" w:color="auto"/>
              <w:left w:val="single" w:sz="4" w:space="0" w:color="auto"/>
              <w:bottom w:val="single" w:sz="4" w:space="0" w:color="auto"/>
              <w:right w:val="nil"/>
            </w:tcBorders>
            <w:vAlign w:val="top"/>
          </w:tcPr>
          <w:p w14:paraId="4DD9AF84" w14:textId="77777777" w:rsidR="00030303" w:rsidRPr="00D96D9D" w:rsidRDefault="00030303" w:rsidP="00030303">
            <w:pPr>
              <w:spacing w:after="0" w:line="240" w:lineRule="auto"/>
              <w:rPr>
                <w:rFonts w:asciiTheme="minorHAnsi" w:eastAsia="Times New Roman" w:hAnsiTheme="minorHAnsi" w:cs="Times New Roman"/>
                <w:color w:val="222222"/>
                <w:w w:val="100"/>
                <w:kern w:val="0"/>
                <w:sz w:val="19"/>
                <w:szCs w:val="19"/>
              </w:rPr>
            </w:pPr>
            <w:r w:rsidRPr="00D96D9D">
              <w:rPr>
                <w:rFonts w:asciiTheme="minorHAnsi" w:hAnsiTheme="minorHAnsi"/>
                <w:color w:val="222222"/>
                <w:sz w:val="19"/>
                <w:szCs w:val="19"/>
              </w:rPr>
              <w:t>Aboriginal Land Rights Commission</w:t>
            </w:r>
          </w:p>
        </w:tc>
        <w:tc>
          <w:tcPr>
            <w:tcW w:w="1241" w:type="pct"/>
            <w:tcBorders>
              <w:top w:val="single" w:sz="4" w:space="0" w:color="auto"/>
              <w:left w:val="nil"/>
              <w:bottom w:val="single" w:sz="4" w:space="0" w:color="auto"/>
              <w:right w:val="single" w:sz="4" w:space="0" w:color="auto"/>
            </w:tcBorders>
            <w:shd w:val="clear" w:color="auto" w:fill="D9D9D9"/>
            <w:vAlign w:val="top"/>
          </w:tcPr>
          <w:p w14:paraId="332F2DC0" w14:textId="77777777" w:rsidR="00030303" w:rsidRPr="00D96D9D" w:rsidRDefault="00030303" w:rsidP="00030303">
            <w:pPr>
              <w:rPr>
                <w:rFonts w:asciiTheme="minorHAnsi" w:hAnsiTheme="minorHAnsi"/>
                <w:color w:val="222222"/>
                <w:sz w:val="19"/>
                <w:szCs w:val="19"/>
              </w:rPr>
            </w:pPr>
            <w:r w:rsidRPr="00D96D9D">
              <w:rPr>
                <w:rFonts w:asciiTheme="minorHAnsi" w:hAnsiTheme="minorHAnsi"/>
                <w:color w:val="222222"/>
                <w:sz w:val="19"/>
                <w:szCs w:val="19"/>
              </w:rPr>
              <w:t>8 February 1973–17 July 1974</w:t>
            </w:r>
          </w:p>
        </w:tc>
      </w:tr>
      <w:tr w:rsidR="00030303" w:rsidRPr="00DB2B77" w14:paraId="7FED00BD" w14:textId="77777777" w:rsidTr="00030303">
        <w:tc>
          <w:tcPr>
            <w:tcW w:w="3759" w:type="pct"/>
            <w:tcBorders>
              <w:top w:val="single" w:sz="4" w:space="0" w:color="auto"/>
              <w:left w:val="single" w:sz="4" w:space="0" w:color="auto"/>
              <w:bottom w:val="single" w:sz="4" w:space="0" w:color="auto"/>
              <w:right w:val="nil"/>
            </w:tcBorders>
            <w:vAlign w:val="top"/>
          </w:tcPr>
          <w:p w14:paraId="3C78FD8A" w14:textId="77777777" w:rsidR="00030303" w:rsidRPr="00D96D9D" w:rsidRDefault="00030303" w:rsidP="00030303">
            <w:pPr>
              <w:spacing w:after="0" w:line="240" w:lineRule="auto"/>
              <w:rPr>
                <w:rFonts w:asciiTheme="minorHAnsi" w:eastAsia="Times New Roman" w:hAnsiTheme="minorHAnsi" w:cs="Times New Roman"/>
                <w:color w:val="222222"/>
                <w:w w:val="100"/>
                <w:kern w:val="0"/>
                <w:sz w:val="19"/>
                <w:szCs w:val="19"/>
              </w:rPr>
            </w:pPr>
            <w:r w:rsidRPr="00D96D9D">
              <w:rPr>
                <w:rFonts w:asciiTheme="minorHAnsi" w:hAnsiTheme="minorHAnsi"/>
                <w:color w:val="222222"/>
                <w:sz w:val="19"/>
                <w:szCs w:val="19"/>
              </w:rPr>
              <w:t>Australian Post Office Commission of inquiry</w:t>
            </w:r>
          </w:p>
        </w:tc>
        <w:tc>
          <w:tcPr>
            <w:tcW w:w="1241" w:type="pct"/>
            <w:tcBorders>
              <w:top w:val="single" w:sz="4" w:space="0" w:color="auto"/>
              <w:left w:val="nil"/>
              <w:bottom w:val="single" w:sz="4" w:space="0" w:color="auto"/>
              <w:right w:val="single" w:sz="4" w:space="0" w:color="auto"/>
            </w:tcBorders>
            <w:shd w:val="clear" w:color="auto" w:fill="D9D9D9"/>
            <w:vAlign w:val="top"/>
          </w:tcPr>
          <w:p w14:paraId="08A36882" w14:textId="77777777" w:rsidR="00030303" w:rsidRPr="00D96D9D" w:rsidRDefault="00030303" w:rsidP="00030303">
            <w:pPr>
              <w:rPr>
                <w:rFonts w:asciiTheme="minorHAnsi" w:hAnsiTheme="minorHAnsi"/>
                <w:color w:val="222222"/>
                <w:sz w:val="19"/>
                <w:szCs w:val="19"/>
              </w:rPr>
            </w:pPr>
            <w:r w:rsidRPr="00D96D9D">
              <w:rPr>
                <w:rFonts w:asciiTheme="minorHAnsi" w:hAnsiTheme="minorHAnsi"/>
                <w:color w:val="222222"/>
                <w:sz w:val="19"/>
                <w:szCs w:val="19"/>
              </w:rPr>
              <w:t>22 February 1973–23 July 1974</w:t>
            </w:r>
          </w:p>
        </w:tc>
      </w:tr>
      <w:tr w:rsidR="00030303" w:rsidRPr="00DB2B77" w14:paraId="76D8A849" w14:textId="77777777" w:rsidTr="00030303">
        <w:tc>
          <w:tcPr>
            <w:tcW w:w="3759" w:type="pct"/>
            <w:tcBorders>
              <w:top w:val="single" w:sz="4" w:space="0" w:color="auto"/>
              <w:left w:val="single" w:sz="4" w:space="0" w:color="auto"/>
              <w:bottom w:val="single" w:sz="4" w:space="0" w:color="auto"/>
              <w:right w:val="nil"/>
            </w:tcBorders>
            <w:vAlign w:val="top"/>
          </w:tcPr>
          <w:p w14:paraId="424257BC" w14:textId="77777777" w:rsidR="00030303" w:rsidRPr="00D96D9D" w:rsidRDefault="00030303" w:rsidP="00030303">
            <w:pPr>
              <w:spacing w:after="0" w:line="240" w:lineRule="auto"/>
              <w:rPr>
                <w:rFonts w:asciiTheme="minorHAnsi" w:eastAsia="Times New Roman" w:hAnsiTheme="minorHAnsi" w:cs="Times New Roman"/>
                <w:color w:val="222222"/>
                <w:w w:val="100"/>
                <w:kern w:val="0"/>
                <w:sz w:val="19"/>
                <w:szCs w:val="19"/>
              </w:rPr>
            </w:pPr>
            <w:r w:rsidRPr="00D96D9D">
              <w:rPr>
                <w:rFonts w:asciiTheme="minorHAnsi" w:hAnsiTheme="minorHAnsi"/>
                <w:color w:val="222222"/>
                <w:sz w:val="19"/>
                <w:szCs w:val="19"/>
              </w:rPr>
              <w:t>Commission of inquiry into land tenures</w:t>
            </w:r>
          </w:p>
        </w:tc>
        <w:tc>
          <w:tcPr>
            <w:tcW w:w="1241" w:type="pct"/>
            <w:tcBorders>
              <w:top w:val="single" w:sz="4" w:space="0" w:color="auto"/>
              <w:left w:val="nil"/>
              <w:bottom w:val="single" w:sz="4" w:space="0" w:color="auto"/>
              <w:right w:val="single" w:sz="4" w:space="0" w:color="auto"/>
            </w:tcBorders>
            <w:shd w:val="clear" w:color="auto" w:fill="D9D9D9"/>
            <w:vAlign w:val="top"/>
          </w:tcPr>
          <w:p w14:paraId="062C918E" w14:textId="77777777" w:rsidR="00030303" w:rsidRPr="00D96D9D" w:rsidRDefault="00030303" w:rsidP="00030303">
            <w:pPr>
              <w:rPr>
                <w:rFonts w:asciiTheme="minorHAnsi" w:hAnsiTheme="minorHAnsi"/>
                <w:color w:val="222222"/>
                <w:sz w:val="19"/>
                <w:szCs w:val="19"/>
              </w:rPr>
            </w:pPr>
            <w:r w:rsidRPr="00D96D9D">
              <w:rPr>
                <w:rFonts w:asciiTheme="minorHAnsi" w:hAnsiTheme="minorHAnsi"/>
                <w:color w:val="222222"/>
                <w:sz w:val="19"/>
                <w:szCs w:val="19"/>
              </w:rPr>
              <w:t>4 May 1973–26 May 1976</w:t>
            </w:r>
          </w:p>
        </w:tc>
      </w:tr>
      <w:tr w:rsidR="00030303" w:rsidRPr="00DB2B77" w14:paraId="3ACCD478" w14:textId="77777777" w:rsidTr="00030303">
        <w:tc>
          <w:tcPr>
            <w:tcW w:w="3759" w:type="pct"/>
            <w:tcBorders>
              <w:top w:val="single" w:sz="4" w:space="0" w:color="auto"/>
              <w:left w:val="single" w:sz="4" w:space="0" w:color="auto"/>
              <w:bottom w:val="single" w:sz="4" w:space="0" w:color="auto"/>
              <w:right w:val="nil"/>
            </w:tcBorders>
            <w:vAlign w:val="top"/>
          </w:tcPr>
          <w:p w14:paraId="70BCDF18" w14:textId="77777777" w:rsidR="00030303" w:rsidRPr="00D96D9D" w:rsidRDefault="00030303" w:rsidP="00030303">
            <w:pPr>
              <w:spacing w:after="0" w:line="240" w:lineRule="auto"/>
              <w:rPr>
                <w:rFonts w:asciiTheme="minorHAnsi" w:eastAsia="Times New Roman" w:hAnsiTheme="minorHAnsi" w:cs="Times New Roman"/>
                <w:color w:val="222222"/>
                <w:w w:val="100"/>
                <w:kern w:val="0"/>
                <w:sz w:val="19"/>
                <w:szCs w:val="19"/>
              </w:rPr>
            </w:pPr>
            <w:r w:rsidRPr="00D96D9D">
              <w:rPr>
                <w:rFonts w:asciiTheme="minorHAnsi" w:hAnsiTheme="minorHAnsi"/>
                <w:color w:val="222222"/>
                <w:sz w:val="19"/>
                <w:szCs w:val="19"/>
              </w:rPr>
              <w:t>Royal Commission on petroleum</w:t>
            </w:r>
          </w:p>
        </w:tc>
        <w:tc>
          <w:tcPr>
            <w:tcW w:w="1241" w:type="pct"/>
            <w:tcBorders>
              <w:top w:val="single" w:sz="4" w:space="0" w:color="auto"/>
              <w:left w:val="nil"/>
              <w:bottom w:val="single" w:sz="4" w:space="0" w:color="auto"/>
              <w:right w:val="single" w:sz="4" w:space="0" w:color="auto"/>
            </w:tcBorders>
            <w:shd w:val="clear" w:color="auto" w:fill="D9D9D9"/>
            <w:vAlign w:val="top"/>
          </w:tcPr>
          <w:p w14:paraId="18C78F30" w14:textId="77777777" w:rsidR="00030303" w:rsidRPr="00D96D9D" w:rsidRDefault="00030303" w:rsidP="00030303">
            <w:pPr>
              <w:rPr>
                <w:rFonts w:asciiTheme="minorHAnsi" w:hAnsiTheme="minorHAnsi"/>
                <w:color w:val="222222"/>
                <w:sz w:val="19"/>
                <w:szCs w:val="19"/>
              </w:rPr>
            </w:pPr>
            <w:r w:rsidRPr="00D96D9D">
              <w:rPr>
                <w:rFonts w:asciiTheme="minorHAnsi" w:hAnsiTheme="minorHAnsi"/>
                <w:color w:val="222222"/>
                <w:sz w:val="19"/>
                <w:szCs w:val="19"/>
              </w:rPr>
              <w:t>12 September 1973–8 December 1976</w:t>
            </w:r>
          </w:p>
        </w:tc>
      </w:tr>
      <w:tr w:rsidR="00030303" w:rsidRPr="00DB2B77" w14:paraId="5B03D9D8" w14:textId="77777777" w:rsidTr="00030303">
        <w:tc>
          <w:tcPr>
            <w:tcW w:w="3759" w:type="pct"/>
            <w:tcBorders>
              <w:top w:val="single" w:sz="4" w:space="0" w:color="auto"/>
              <w:left w:val="single" w:sz="4" w:space="0" w:color="auto"/>
              <w:bottom w:val="single" w:sz="4" w:space="0" w:color="auto"/>
              <w:right w:val="nil"/>
            </w:tcBorders>
            <w:vAlign w:val="top"/>
          </w:tcPr>
          <w:p w14:paraId="5EFFC3A1" w14:textId="77777777" w:rsidR="00030303" w:rsidRPr="00D96D9D" w:rsidRDefault="00030303" w:rsidP="00030303">
            <w:pPr>
              <w:spacing w:after="0" w:line="240" w:lineRule="auto"/>
              <w:rPr>
                <w:rFonts w:asciiTheme="minorHAnsi" w:eastAsia="Times New Roman" w:hAnsiTheme="minorHAnsi" w:cs="Times New Roman"/>
                <w:color w:val="222222"/>
                <w:w w:val="100"/>
                <w:kern w:val="0"/>
                <w:sz w:val="19"/>
                <w:szCs w:val="19"/>
              </w:rPr>
            </w:pPr>
            <w:r w:rsidRPr="00D96D9D">
              <w:rPr>
                <w:rFonts w:asciiTheme="minorHAnsi" w:hAnsiTheme="minorHAnsi"/>
                <w:color w:val="222222"/>
                <w:sz w:val="19"/>
                <w:szCs w:val="19"/>
              </w:rPr>
              <w:t>Commission of Inquiry into the maritime industry</w:t>
            </w:r>
          </w:p>
        </w:tc>
        <w:tc>
          <w:tcPr>
            <w:tcW w:w="1241" w:type="pct"/>
            <w:tcBorders>
              <w:top w:val="single" w:sz="4" w:space="0" w:color="auto"/>
              <w:left w:val="nil"/>
              <w:bottom w:val="single" w:sz="4" w:space="0" w:color="auto"/>
              <w:right w:val="single" w:sz="4" w:space="0" w:color="auto"/>
            </w:tcBorders>
            <w:shd w:val="clear" w:color="auto" w:fill="D9D9D9"/>
            <w:vAlign w:val="top"/>
          </w:tcPr>
          <w:p w14:paraId="1500CEA2" w14:textId="77777777" w:rsidR="00030303" w:rsidRPr="00D96D9D" w:rsidRDefault="00030303" w:rsidP="00030303">
            <w:pPr>
              <w:rPr>
                <w:rFonts w:asciiTheme="minorHAnsi" w:hAnsiTheme="minorHAnsi"/>
                <w:color w:val="222222"/>
                <w:sz w:val="19"/>
                <w:szCs w:val="19"/>
              </w:rPr>
            </w:pPr>
            <w:r w:rsidRPr="00D96D9D">
              <w:rPr>
                <w:rFonts w:asciiTheme="minorHAnsi" w:hAnsiTheme="minorHAnsi"/>
                <w:color w:val="222222"/>
                <w:sz w:val="19"/>
                <w:szCs w:val="19"/>
              </w:rPr>
              <w:t>25 September 1973–2 November 1976</w:t>
            </w:r>
          </w:p>
        </w:tc>
      </w:tr>
      <w:tr w:rsidR="00030303" w:rsidRPr="00DB2B77" w14:paraId="6019B6FE" w14:textId="77777777" w:rsidTr="00030303">
        <w:tc>
          <w:tcPr>
            <w:tcW w:w="3759" w:type="pct"/>
            <w:tcBorders>
              <w:top w:val="single" w:sz="4" w:space="0" w:color="auto"/>
              <w:left w:val="single" w:sz="4" w:space="0" w:color="auto"/>
              <w:bottom w:val="single" w:sz="4" w:space="0" w:color="auto"/>
              <w:right w:val="nil"/>
            </w:tcBorders>
            <w:vAlign w:val="top"/>
          </w:tcPr>
          <w:p w14:paraId="3DC907C3" w14:textId="77777777" w:rsidR="00030303" w:rsidRPr="00D96D9D" w:rsidRDefault="00030303" w:rsidP="00030303">
            <w:pPr>
              <w:spacing w:after="0" w:line="240" w:lineRule="auto"/>
              <w:rPr>
                <w:rFonts w:asciiTheme="minorHAnsi" w:eastAsia="Times New Roman" w:hAnsiTheme="minorHAnsi" w:cs="Times New Roman"/>
                <w:color w:val="222222"/>
                <w:w w:val="100"/>
                <w:kern w:val="0"/>
                <w:sz w:val="19"/>
                <w:szCs w:val="19"/>
              </w:rPr>
            </w:pPr>
            <w:r w:rsidRPr="00D96D9D">
              <w:rPr>
                <w:rFonts w:asciiTheme="minorHAnsi" w:hAnsiTheme="minorHAnsi"/>
                <w:color w:val="222222"/>
                <w:sz w:val="19"/>
                <w:szCs w:val="19"/>
              </w:rPr>
              <w:t>Independent Inquiry into Frequency Modulation Broadcasting</w:t>
            </w:r>
          </w:p>
        </w:tc>
        <w:tc>
          <w:tcPr>
            <w:tcW w:w="1241" w:type="pct"/>
            <w:tcBorders>
              <w:top w:val="single" w:sz="4" w:space="0" w:color="auto"/>
              <w:left w:val="nil"/>
              <w:bottom w:val="single" w:sz="4" w:space="0" w:color="auto"/>
              <w:right w:val="single" w:sz="4" w:space="0" w:color="auto"/>
            </w:tcBorders>
            <w:shd w:val="clear" w:color="auto" w:fill="D9D9D9"/>
            <w:vAlign w:val="top"/>
          </w:tcPr>
          <w:p w14:paraId="643BAAF0" w14:textId="77777777" w:rsidR="00030303" w:rsidRPr="00D96D9D" w:rsidRDefault="00030303" w:rsidP="00030303">
            <w:pPr>
              <w:rPr>
                <w:rFonts w:asciiTheme="minorHAnsi" w:hAnsiTheme="minorHAnsi"/>
                <w:color w:val="222222"/>
                <w:sz w:val="19"/>
                <w:szCs w:val="19"/>
              </w:rPr>
            </w:pPr>
            <w:r w:rsidRPr="00D96D9D">
              <w:rPr>
                <w:rFonts w:asciiTheme="minorHAnsi" w:hAnsiTheme="minorHAnsi"/>
                <w:color w:val="222222"/>
                <w:sz w:val="19"/>
                <w:szCs w:val="19"/>
              </w:rPr>
              <w:t>27 November 1973–13 March 1974</w:t>
            </w:r>
          </w:p>
        </w:tc>
      </w:tr>
      <w:tr w:rsidR="00030303" w:rsidRPr="00DB2B77" w14:paraId="6365F410" w14:textId="77777777" w:rsidTr="00030303">
        <w:tc>
          <w:tcPr>
            <w:tcW w:w="3759" w:type="pct"/>
            <w:tcBorders>
              <w:top w:val="single" w:sz="4" w:space="0" w:color="auto"/>
              <w:left w:val="single" w:sz="4" w:space="0" w:color="auto"/>
              <w:bottom w:val="single" w:sz="4" w:space="0" w:color="auto"/>
              <w:right w:val="nil"/>
            </w:tcBorders>
            <w:vAlign w:val="top"/>
          </w:tcPr>
          <w:p w14:paraId="558E0723" w14:textId="77777777" w:rsidR="00030303" w:rsidRPr="00D96D9D" w:rsidRDefault="00030303" w:rsidP="00030303">
            <w:pPr>
              <w:spacing w:after="0" w:line="240" w:lineRule="auto"/>
              <w:rPr>
                <w:rFonts w:asciiTheme="minorHAnsi" w:eastAsia="Times New Roman" w:hAnsiTheme="minorHAnsi" w:cs="Times New Roman"/>
                <w:color w:val="222222"/>
                <w:w w:val="100"/>
                <w:kern w:val="0"/>
                <w:sz w:val="19"/>
                <w:szCs w:val="19"/>
              </w:rPr>
            </w:pPr>
            <w:r w:rsidRPr="00D96D9D">
              <w:rPr>
                <w:rFonts w:asciiTheme="minorHAnsi" w:hAnsiTheme="minorHAnsi"/>
                <w:color w:val="222222"/>
                <w:sz w:val="19"/>
                <w:szCs w:val="19"/>
              </w:rPr>
              <w:t>Commission of Inquiry into transport to and from Tasmania</w:t>
            </w:r>
          </w:p>
        </w:tc>
        <w:tc>
          <w:tcPr>
            <w:tcW w:w="1241" w:type="pct"/>
            <w:tcBorders>
              <w:top w:val="single" w:sz="4" w:space="0" w:color="auto"/>
              <w:left w:val="nil"/>
              <w:bottom w:val="single" w:sz="4" w:space="0" w:color="auto"/>
              <w:right w:val="single" w:sz="4" w:space="0" w:color="auto"/>
            </w:tcBorders>
            <w:shd w:val="clear" w:color="auto" w:fill="D9D9D9"/>
            <w:vAlign w:val="top"/>
          </w:tcPr>
          <w:p w14:paraId="44B4B3E3" w14:textId="77777777" w:rsidR="00030303" w:rsidRPr="00D96D9D" w:rsidRDefault="00030303" w:rsidP="00030303">
            <w:pPr>
              <w:rPr>
                <w:rFonts w:asciiTheme="minorHAnsi" w:hAnsiTheme="minorHAnsi"/>
                <w:color w:val="222222"/>
                <w:sz w:val="19"/>
                <w:szCs w:val="19"/>
              </w:rPr>
            </w:pPr>
            <w:r w:rsidRPr="00D96D9D">
              <w:rPr>
                <w:rFonts w:asciiTheme="minorHAnsi" w:hAnsiTheme="minorHAnsi"/>
                <w:color w:val="222222"/>
                <w:sz w:val="19"/>
                <w:szCs w:val="19"/>
              </w:rPr>
              <w:t>10 April 1974–25 March 1976</w:t>
            </w:r>
          </w:p>
        </w:tc>
      </w:tr>
      <w:tr w:rsidR="00030303" w:rsidRPr="00DB2B77" w14:paraId="13535E12" w14:textId="77777777" w:rsidTr="00030303">
        <w:tc>
          <w:tcPr>
            <w:tcW w:w="3759" w:type="pct"/>
            <w:tcBorders>
              <w:top w:val="single" w:sz="4" w:space="0" w:color="auto"/>
              <w:left w:val="single" w:sz="4" w:space="0" w:color="auto"/>
              <w:bottom w:val="single" w:sz="4" w:space="0" w:color="auto"/>
              <w:right w:val="nil"/>
            </w:tcBorders>
            <w:vAlign w:val="top"/>
          </w:tcPr>
          <w:p w14:paraId="5950F988" w14:textId="77777777" w:rsidR="00030303" w:rsidRPr="00D96D9D" w:rsidRDefault="00030303" w:rsidP="00030303">
            <w:pPr>
              <w:spacing w:after="0" w:line="240" w:lineRule="auto"/>
              <w:rPr>
                <w:rFonts w:asciiTheme="minorHAnsi" w:eastAsia="Times New Roman" w:hAnsiTheme="minorHAnsi" w:cs="Times New Roman"/>
                <w:color w:val="222222"/>
                <w:w w:val="100"/>
                <w:kern w:val="0"/>
                <w:sz w:val="19"/>
                <w:szCs w:val="19"/>
              </w:rPr>
            </w:pPr>
            <w:r w:rsidRPr="00D96D9D">
              <w:rPr>
                <w:rFonts w:asciiTheme="minorHAnsi" w:hAnsiTheme="minorHAnsi"/>
                <w:color w:val="222222"/>
                <w:sz w:val="19"/>
                <w:szCs w:val="19"/>
              </w:rPr>
              <w:lastRenderedPageBreak/>
              <w:t>Royal Commission on Australian Government Administration</w:t>
            </w:r>
          </w:p>
        </w:tc>
        <w:tc>
          <w:tcPr>
            <w:tcW w:w="1241" w:type="pct"/>
            <w:tcBorders>
              <w:top w:val="single" w:sz="4" w:space="0" w:color="auto"/>
              <w:left w:val="nil"/>
              <w:bottom w:val="single" w:sz="4" w:space="0" w:color="auto"/>
              <w:right w:val="single" w:sz="4" w:space="0" w:color="auto"/>
            </w:tcBorders>
            <w:shd w:val="clear" w:color="auto" w:fill="D9D9D9"/>
            <w:vAlign w:val="top"/>
          </w:tcPr>
          <w:p w14:paraId="1281A994" w14:textId="77777777" w:rsidR="00030303" w:rsidRPr="00D96D9D" w:rsidRDefault="00030303" w:rsidP="00030303">
            <w:pPr>
              <w:rPr>
                <w:rFonts w:asciiTheme="minorHAnsi" w:hAnsiTheme="minorHAnsi"/>
                <w:color w:val="222222"/>
                <w:sz w:val="19"/>
                <w:szCs w:val="19"/>
              </w:rPr>
            </w:pPr>
            <w:r w:rsidRPr="00D96D9D">
              <w:rPr>
                <w:rFonts w:asciiTheme="minorHAnsi" w:hAnsiTheme="minorHAnsi"/>
                <w:color w:val="222222"/>
                <w:sz w:val="19"/>
                <w:szCs w:val="19"/>
              </w:rPr>
              <w:t>6 June 1974–18 August 1976</w:t>
            </w:r>
          </w:p>
        </w:tc>
      </w:tr>
      <w:tr w:rsidR="00030303" w:rsidRPr="00DB2B77" w14:paraId="2B93AB4B" w14:textId="77777777" w:rsidTr="00030303">
        <w:tc>
          <w:tcPr>
            <w:tcW w:w="3759" w:type="pct"/>
            <w:tcBorders>
              <w:top w:val="single" w:sz="4" w:space="0" w:color="auto"/>
              <w:left w:val="single" w:sz="4" w:space="0" w:color="auto"/>
              <w:bottom w:val="single" w:sz="4" w:space="0" w:color="auto"/>
              <w:right w:val="nil"/>
            </w:tcBorders>
            <w:vAlign w:val="top"/>
          </w:tcPr>
          <w:p w14:paraId="004CA113" w14:textId="77777777" w:rsidR="00030303" w:rsidRPr="00D96D9D" w:rsidRDefault="00030303" w:rsidP="00030303">
            <w:pPr>
              <w:spacing w:after="0" w:line="240" w:lineRule="auto"/>
              <w:rPr>
                <w:rFonts w:asciiTheme="minorHAnsi" w:eastAsia="Times New Roman" w:hAnsiTheme="minorHAnsi" w:cs="Times New Roman"/>
                <w:color w:val="222222"/>
                <w:w w:val="100"/>
                <w:kern w:val="0"/>
                <w:sz w:val="19"/>
                <w:szCs w:val="19"/>
              </w:rPr>
            </w:pPr>
            <w:r w:rsidRPr="00D96D9D">
              <w:rPr>
                <w:rFonts w:asciiTheme="minorHAnsi" w:hAnsiTheme="minorHAnsi"/>
                <w:color w:val="222222"/>
                <w:sz w:val="19"/>
                <w:szCs w:val="19"/>
              </w:rPr>
              <w:t>Royal Commission on human relationships</w:t>
            </w:r>
          </w:p>
        </w:tc>
        <w:tc>
          <w:tcPr>
            <w:tcW w:w="1241" w:type="pct"/>
            <w:tcBorders>
              <w:top w:val="single" w:sz="4" w:space="0" w:color="auto"/>
              <w:left w:val="nil"/>
              <w:bottom w:val="single" w:sz="4" w:space="0" w:color="auto"/>
              <w:right w:val="single" w:sz="4" w:space="0" w:color="auto"/>
            </w:tcBorders>
            <w:shd w:val="clear" w:color="auto" w:fill="D9D9D9"/>
            <w:vAlign w:val="top"/>
          </w:tcPr>
          <w:p w14:paraId="16CC02CA" w14:textId="77777777" w:rsidR="00030303" w:rsidRPr="00D96D9D" w:rsidRDefault="00030303" w:rsidP="00030303">
            <w:pPr>
              <w:rPr>
                <w:rFonts w:asciiTheme="minorHAnsi" w:hAnsiTheme="minorHAnsi"/>
                <w:color w:val="222222"/>
                <w:sz w:val="19"/>
                <w:szCs w:val="19"/>
              </w:rPr>
            </w:pPr>
            <w:r w:rsidRPr="00D96D9D">
              <w:rPr>
                <w:rFonts w:asciiTheme="minorHAnsi" w:hAnsiTheme="minorHAnsi"/>
                <w:color w:val="222222"/>
                <w:sz w:val="19"/>
                <w:szCs w:val="19"/>
              </w:rPr>
              <w:t>21 August 1974–28 February 1978</w:t>
            </w:r>
          </w:p>
        </w:tc>
      </w:tr>
      <w:tr w:rsidR="00030303" w:rsidRPr="00DB2B77" w14:paraId="1B427DEC" w14:textId="77777777" w:rsidTr="00030303">
        <w:tc>
          <w:tcPr>
            <w:tcW w:w="3759" w:type="pct"/>
            <w:tcBorders>
              <w:top w:val="single" w:sz="4" w:space="0" w:color="auto"/>
              <w:left w:val="single" w:sz="4" w:space="0" w:color="auto"/>
              <w:bottom w:val="single" w:sz="4" w:space="0" w:color="auto"/>
              <w:right w:val="nil"/>
            </w:tcBorders>
            <w:vAlign w:val="top"/>
          </w:tcPr>
          <w:p w14:paraId="5B1F2F06" w14:textId="77777777" w:rsidR="00030303" w:rsidRPr="00D96D9D" w:rsidRDefault="00030303" w:rsidP="00030303">
            <w:pPr>
              <w:spacing w:after="0" w:line="240" w:lineRule="auto"/>
              <w:rPr>
                <w:rFonts w:asciiTheme="minorHAnsi" w:eastAsia="Times New Roman" w:hAnsiTheme="minorHAnsi" w:cs="Times New Roman"/>
                <w:color w:val="222222"/>
                <w:w w:val="100"/>
                <w:kern w:val="0"/>
                <w:sz w:val="19"/>
                <w:szCs w:val="19"/>
              </w:rPr>
            </w:pPr>
            <w:r w:rsidRPr="00D96D9D">
              <w:rPr>
                <w:rFonts w:asciiTheme="minorHAnsi" w:hAnsiTheme="minorHAnsi"/>
                <w:color w:val="222222"/>
                <w:sz w:val="19"/>
                <w:szCs w:val="19"/>
              </w:rPr>
              <w:t>Royal Commission on intelligence and security</w:t>
            </w:r>
          </w:p>
        </w:tc>
        <w:tc>
          <w:tcPr>
            <w:tcW w:w="1241" w:type="pct"/>
            <w:tcBorders>
              <w:top w:val="single" w:sz="4" w:space="0" w:color="auto"/>
              <w:left w:val="nil"/>
              <w:bottom w:val="single" w:sz="4" w:space="0" w:color="auto"/>
              <w:right w:val="single" w:sz="4" w:space="0" w:color="auto"/>
            </w:tcBorders>
            <w:shd w:val="clear" w:color="auto" w:fill="D9D9D9"/>
            <w:vAlign w:val="top"/>
          </w:tcPr>
          <w:p w14:paraId="565BCFDF" w14:textId="77777777" w:rsidR="00030303" w:rsidRPr="00D96D9D" w:rsidRDefault="00030303" w:rsidP="00030303">
            <w:pPr>
              <w:rPr>
                <w:rFonts w:asciiTheme="minorHAnsi" w:hAnsiTheme="minorHAnsi"/>
                <w:color w:val="222222"/>
                <w:sz w:val="19"/>
                <w:szCs w:val="19"/>
              </w:rPr>
            </w:pPr>
            <w:r w:rsidRPr="00D96D9D">
              <w:rPr>
                <w:rFonts w:asciiTheme="minorHAnsi" w:hAnsiTheme="minorHAnsi"/>
                <w:color w:val="222222"/>
                <w:sz w:val="19"/>
                <w:szCs w:val="19"/>
              </w:rPr>
              <w:t>21 August 1974–25 October 1977</w:t>
            </w:r>
          </w:p>
        </w:tc>
      </w:tr>
      <w:tr w:rsidR="00030303" w:rsidRPr="00DB2B77" w14:paraId="57EF4348" w14:textId="77777777" w:rsidTr="00030303">
        <w:tc>
          <w:tcPr>
            <w:tcW w:w="3759" w:type="pct"/>
            <w:tcBorders>
              <w:top w:val="single" w:sz="4" w:space="0" w:color="auto"/>
              <w:left w:val="single" w:sz="4" w:space="0" w:color="auto"/>
              <w:bottom w:val="single" w:sz="4" w:space="0" w:color="auto"/>
              <w:right w:val="nil"/>
            </w:tcBorders>
            <w:vAlign w:val="top"/>
          </w:tcPr>
          <w:p w14:paraId="60E58D64" w14:textId="77777777" w:rsidR="00030303" w:rsidRPr="00D96D9D" w:rsidRDefault="00030303" w:rsidP="00030303">
            <w:pPr>
              <w:spacing w:after="0" w:line="240" w:lineRule="auto"/>
              <w:rPr>
                <w:rFonts w:asciiTheme="minorHAnsi" w:eastAsia="Times New Roman" w:hAnsiTheme="minorHAnsi" w:cs="Times New Roman"/>
                <w:color w:val="222222"/>
                <w:w w:val="100"/>
                <w:kern w:val="0"/>
                <w:sz w:val="19"/>
                <w:szCs w:val="19"/>
              </w:rPr>
            </w:pPr>
            <w:r w:rsidRPr="00D96D9D">
              <w:rPr>
                <w:rFonts w:asciiTheme="minorHAnsi" w:hAnsiTheme="minorHAnsi"/>
                <w:color w:val="222222"/>
                <w:sz w:val="19"/>
                <w:szCs w:val="19"/>
              </w:rPr>
              <w:t>Royal Commission into alleged payments to maritime unions</w:t>
            </w:r>
          </w:p>
        </w:tc>
        <w:tc>
          <w:tcPr>
            <w:tcW w:w="1241" w:type="pct"/>
            <w:tcBorders>
              <w:top w:val="single" w:sz="4" w:space="0" w:color="auto"/>
              <w:left w:val="nil"/>
              <w:bottom w:val="single" w:sz="4" w:space="0" w:color="auto"/>
              <w:right w:val="single" w:sz="4" w:space="0" w:color="auto"/>
            </w:tcBorders>
            <w:shd w:val="clear" w:color="auto" w:fill="D9D9D9"/>
            <w:vAlign w:val="top"/>
          </w:tcPr>
          <w:p w14:paraId="616E1A2E" w14:textId="77777777" w:rsidR="00030303" w:rsidRPr="00D96D9D" w:rsidRDefault="00030303" w:rsidP="00030303">
            <w:pPr>
              <w:rPr>
                <w:rFonts w:asciiTheme="minorHAnsi" w:hAnsiTheme="minorHAnsi"/>
                <w:color w:val="222222"/>
                <w:sz w:val="19"/>
                <w:szCs w:val="19"/>
              </w:rPr>
            </w:pPr>
            <w:r w:rsidRPr="00D96D9D">
              <w:rPr>
                <w:rFonts w:asciiTheme="minorHAnsi" w:hAnsiTheme="minorHAnsi"/>
                <w:color w:val="222222"/>
                <w:sz w:val="19"/>
                <w:szCs w:val="19"/>
              </w:rPr>
              <w:t>5 September 1974–25 May 1976</w:t>
            </w:r>
          </w:p>
        </w:tc>
      </w:tr>
      <w:tr w:rsidR="00030303" w:rsidRPr="00DB2B77" w14:paraId="4484A90C" w14:textId="77777777" w:rsidTr="00030303">
        <w:tc>
          <w:tcPr>
            <w:tcW w:w="3759" w:type="pct"/>
            <w:tcBorders>
              <w:top w:val="single" w:sz="4" w:space="0" w:color="auto"/>
              <w:left w:val="single" w:sz="4" w:space="0" w:color="auto"/>
              <w:bottom w:val="single" w:sz="4" w:space="0" w:color="auto"/>
              <w:right w:val="nil"/>
            </w:tcBorders>
            <w:vAlign w:val="top"/>
          </w:tcPr>
          <w:p w14:paraId="10F50291" w14:textId="77777777" w:rsidR="00030303" w:rsidRPr="00D96D9D" w:rsidRDefault="00030303" w:rsidP="00030303">
            <w:pPr>
              <w:spacing w:after="0" w:line="240" w:lineRule="auto"/>
              <w:rPr>
                <w:rFonts w:asciiTheme="minorHAnsi" w:eastAsia="Times New Roman" w:hAnsiTheme="minorHAnsi" w:cs="Times New Roman"/>
                <w:color w:val="222222"/>
                <w:w w:val="100"/>
                <w:kern w:val="0"/>
                <w:sz w:val="19"/>
                <w:szCs w:val="19"/>
              </w:rPr>
            </w:pPr>
            <w:r w:rsidRPr="00D96D9D">
              <w:rPr>
                <w:rFonts w:asciiTheme="minorHAnsi" w:hAnsiTheme="minorHAnsi"/>
                <w:color w:val="222222"/>
                <w:sz w:val="19"/>
                <w:szCs w:val="19"/>
              </w:rPr>
              <w:t>Royal Commission to inquire into and report upon certain incidents in which Aborigines were involved in the Laverton area [WA Royal Commission with a Commonwealth nominee and costs shared by Commonwealth and WA Governments]</w:t>
            </w:r>
          </w:p>
        </w:tc>
        <w:tc>
          <w:tcPr>
            <w:tcW w:w="1241" w:type="pct"/>
            <w:tcBorders>
              <w:top w:val="single" w:sz="4" w:space="0" w:color="auto"/>
              <w:left w:val="nil"/>
              <w:bottom w:val="single" w:sz="4" w:space="0" w:color="auto"/>
              <w:right w:val="single" w:sz="4" w:space="0" w:color="auto"/>
            </w:tcBorders>
            <w:shd w:val="clear" w:color="auto" w:fill="D9D9D9"/>
            <w:vAlign w:val="top"/>
          </w:tcPr>
          <w:p w14:paraId="22702D40" w14:textId="77777777" w:rsidR="00030303" w:rsidRPr="00D96D9D" w:rsidRDefault="00030303" w:rsidP="00030303">
            <w:pPr>
              <w:rPr>
                <w:rFonts w:asciiTheme="minorHAnsi" w:hAnsiTheme="minorHAnsi"/>
                <w:color w:val="222222"/>
                <w:sz w:val="19"/>
                <w:szCs w:val="19"/>
              </w:rPr>
            </w:pPr>
            <w:r w:rsidRPr="00D96D9D">
              <w:rPr>
                <w:rFonts w:asciiTheme="minorHAnsi" w:hAnsiTheme="minorHAnsi"/>
                <w:color w:val="222222"/>
                <w:sz w:val="19"/>
                <w:szCs w:val="19"/>
              </w:rPr>
              <w:t>23 April 1975–13 April 1976</w:t>
            </w:r>
          </w:p>
        </w:tc>
      </w:tr>
      <w:tr w:rsidR="00030303" w:rsidRPr="00DB2B77" w14:paraId="6125FCA1" w14:textId="77777777" w:rsidTr="00030303">
        <w:tc>
          <w:tcPr>
            <w:tcW w:w="3759" w:type="pct"/>
            <w:tcBorders>
              <w:top w:val="single" w:sz="4" w:space="0" w:color="auto"/>
              <w:left w:val="single" w:sz="4" w:space="0" w:color="auto"/>
              <w:bottom w:val="single" w:sz="4" w:space="0" w:color="auto"/>
              <w:right w:val="nil"/>
            </w:tcBorders>
            <w:vAlign w:val="top"/>
          </w:tcPr>
          <w:p w14:paraId="3055FF10" w14:textId="77777777" w:rsidR="00030303" w:rsidRPr="00D96D9D" w:rsidRDefault="00030303" w:rsidP="00030303">
            <w:pPr>
              <w:spacing w:after="0" w:line="240" w:lineRule="auto"/>
              <w:rPr>
                <w:rFonts w:asciiTheme="minorHAnsi" w:hAnsiTheme="minorHAnsi"/>
                <w:color w:val="222222"/>
                <w:sz w:val="19"/>
                <w:szCs w:val="19"/>
              </w:rPr>
            </w:pPr>
            <w:r w:rsidRPr="00D96D9D">
              <w:rPr>
                <w:rFonts w:asciiTheme="minorHAnsi" w:hAnsiTheme="minorHAnsi"/>
                <w:color w:val="222222"/>
                <w:sz w:val="19"/>
                <w:szCs w:val="19"/>
              </w:rPr>
              <w:t>Royal Commission into Matters Relating to Norfolk Island</w:t>
            </w:r>
          </w:p>
        </w:tc>
        <w:tc>
          <w:tcPr>
            <w:tcW w:w="1241" w:type="pct"/>
            <w:tcBorders>
              <w:top w:val="single" w:sz="4" w:space="0" w:color="auto"/>
              <w:left w:val="nil"/>
              <w:bottom w:val="single" w:sz="4" w:space="0" w:color="auto"/>
              <w:right w:val="single" w:sz="4" w:space="0" w:color="auto"/>
            </w:tcBorders>
            <w:shd w:val="clear" w:color="auto" w:fill="D9D9D9"/>
            <w:vAlign w:val="top"/>
          </w:tcPr>
          <w:p w14:paraId="6E26CA26" w14:textId="77777777" w:rsidR="00030303" w:rsidRPr="00D96D9D" w:rsidRDefault="00030303" w:rsidP="00030303">
            <w:pPr>
              <w:rPr>
                <w:rFonts w:asciiTheme="minorHAnsi" w:hAnsiTheme="minorHAnsi"/>
                <w:color w:val="222222"/>
                <w:sz w:val="19"/>
                <w:szCs w:val="19"/>
              </w:rPr>
            </w:pPr>
            <w:r w:rsidRPr="00D96D9D">
              <w:rPr>
                <w:rFonts w:asciiTheme="minorHAnsi" w:hAnsiTheme="minorHAnsi"/>
                <w:color w:val="222222"/>
                <w:sz w:val="19"/>
                <w:szCs w:val="19"/>
              </w:rPr>
              <w:t>15 May 1975–16 November 1976</w:t>
            </w:r>
          </w:p>
        </w:tc>
      </w:tr>
      <w:tr w:rsidR="00030303" w:rsidRPr="00DB2B77" w14:paraId="7A77DA43" w14:textId="77777777" w:rsidTr="00030303">
        <w:tc>
          <w:tcPr>
            <w:tcW w:w="3759" w:type="pct"/>
            <w:tcBorders>
              <w:top w:val="single" w:sz="4" w:space="0" w:color="auto"/>
              <w:left w:val="single" w:sz="4" w:space="0" w:color="auto"/>
              <w:bottom w:val="single" w:sz="4" w:space="0" w:color="auto"/>
              <w:right w:val="nil"/>
            </w:tcBorders>
            <w:vAlign w:val="top"/>
          </w:tcPr>
          <w:p w14:paraId="09598AD4" w14:textId="77777777" w:rsidR="00030303" w:rsidRPr="00D96D9D" w:rsidRDefault="00030303" w:rsidP="00030303">
            <w:pPr>
              <w:spacing w:after="0" w:line="240" w:lineRule="auto"/>
              <w:rPr>
                <w:rFonts w:asciiTheme="minorHAnsi" w:eastAsia="Times New Roman" w:hAnsiTheme="minorHAnsi" w:cs="Times New Roman"/>
                <w:color w:val="222222"/>
                <w:w w:val="100"/>
                <w:kern w:val="0"/>
                <w:sz w:val="19"/>
                <w:szCs w:val="19"/>
              </w:rPr>
            </w:pPr>
            <w:r w:rsidRPr="00D96D9D">
              <w:rPr>
                <w:rFonts w:asciiTheme="minorHAnsi" w:hAnsiTheme="minorHAnsi"/>
                <w:color w:val="222222"/>
                <w:sz w:val="19"/>
                <w:szCs w:val="19"/>
              </w:rPr>
              <w:t>Australian Royal Commission of inquiry into drugs</w:t>
            </w:r>
          </w:p>
        </w:tc>
        <w:tc>
          <w:tcPr>
            <w:tcW w:w="1241" w:type="pct"/>
            <w:tcBorders>
              <w:top w:val="single" w:sz="4" w:space="0" w:color="auto"/>
              <w:left w:val="nil"/>
              <w:bottom w:val="single" w:sz="4" w:space="0" w:color="auto"/>
              <w:right w:val="single" w:sz="4" w:space="0" w:color="auto"/>
            </w:tcBorders>
            <w:shd w:val="clear" w:color="auto" w:fill="D9D9D9"/>
            <w:vAlign w:val="top"/>
          </w:tcPr>
          <w:p w14:paraId="4B2F8E6D" w14:textId="77777777" w:rsidR="00030303" w:rsidRPr="00D96D9D" w:rsidRDefault="00030303" w:rsidP="00030303">
            <w:pPr>
              <w:rPr>
                <w:rFonts w:asciiTheme="minorHAnsi" w:hAnsiTheme="minorHAnsi"/>
                <w:color w:val="222222"/>
                <w:sz w:val="19"/>
                <w:szCs w:val="19"/>
              </w:rPr>
            </w:pPr>
            <w:r w:rsidRPr="00D96D9D">
              <w:rPr>
                <w:rFonts w:asciiTheme="minorHAnsi" w:hAnsiTheme="minorHAnsi"/>
                <w:color w:val="222222"/>
                <w:sz w:val="19"/>
                <w:szCs w:val="19"/>
              </w:rPr>
              <w:t>13 October 1977–16 September 1980</w:t>
            </w:r>
          </w:p>
        </w:tc>
      </w:tr>
      <w:tr w:rsidR="00030303" w:rsidRPr="00DB2B77" w14:paraId="5CF2AF28" w14:textId="77777777" w:rsidTr="00030303">
        <w:tc>
          <w:tcPr>
            <w:tcW w:w="3759" w:type="pct"/>
            <w:tcBorders>
              <w:top w:val="single" w:sz="4" w:space="0" w:color="auto"/>
              <w:left w:val="single" w:sz="4" w:space="0" w:color="auto"/>
              <w:bottom w:val="single" w:sz="4" w:space="0" w:color="auto"/>
              <w:right w:val="nil"/>
            </w:tcBorders>
            <w:vAlign w:val="top"/>
          </w:tcPr>
          <w:p w14:paraId="62FD4768" w14:textId="77777777" w:rsidR="00030303" w:rsidRPr="00D96D9D" w:rsidRDefault="00030303" w:rsidP="00030303">
            <w:pPr>
              <w:spacing w:after="0" w:line="240" w:lineRule="auto"/>
              <w:rPr>
                <w:rFonts w:asciiTheme="minorHAnsi" w:eastAsia="Times New Roman" w:hAnsiTheme="minorHAnsi" w:cs="Times New Roman"/>
                <w:color w:val="222222"/>
                <w:w w:val="100"/>
                <w:kern w:val="0"/>
                <w:sz w:val="19"/>
                <w:szCs w:val="19"/>
              </w:rPr>
            </w:pPr>
            <w:r w:rsidRPr="00D96D9D">
              <w:rPr>
                <w:rFonts w:asciiTheme="minorHAnsi" w:hAnsiTheme="minorHAnsi"/>
                <w:color w:val="222222"/>
                <w:sz w:val="19"/>
                <w:szCs w:val="19"/>
              </w:rPr>
              <w:t>Royal Commission of inquiry into matters in relation to electoral redistribution Queensland, 1977</w:t>
            </w:r>
          </w:p>
        </w:tc>
        <w:tc>
          <w:tcPr>
            <w:tcW w:w="1241" w:type="pct"/>
            <w:tcBorders>
              <w:top w:val="single" w:sz="4" w:space="0" w:color="auto"/>
              <w:left w:val="nil"/>
              <w:bottom w:val="single" w:sz="4" w:space="0" w:color="auto"/>
              <w:right w:val="single" w:sz="4" w:space="0" w:color="auto"/>
            </w:tcBorders>
            <w:shd w:val="clear" w:color="auto" w:fill="D9D9D9"/>
            <w:vAlign w:val="top"/>
          </w:tcPr>
          <w:p w14:paraId="29A93F6B" w14:textId="77777777" w:rsidR="00030303" w:rsidRPr="00D96D9D" w:rsidRDefault="00030303" w:rsidP="00030303">
            <w:pPr>
              <w:rPr>
                <w:rFonts w:asciiTheme="minorHAnsi" w:hAnsiTheme="minorHAnsi"/>
                <w:color w:val="222222"/>
                <w:sz w:val="19"/>
                <w:szCs w:val="19"/>
              </w:rPr>
            </w:pPr>
            <w:r w:rsidRPr="00D96D9D">
              <w:rPr>
                <w:rFonts w:asciiTheme="minorHAnsi" w:hAnsiTheme="minorHAnsi"/>
                <w:color w:val="222222"/>
                <w:sz w:val="19"/>
                <w:szCs w:val="19"/>
              </w:rPr>
              <w:t>24 April 1978–15 August 1978</w:t>
            </w:r>
          </w:p>
        </w:tc>
      </w:tr>
      <w:tr w:rsidR="00030303" w:rsidRPr="00DB2B77" w14:paraId="6DA8FB1F" w14:textId="77777777" w:rsidTr="00030303">
        <w:tc>
          <w:tcPr>
            <w:tcW w:w="3759" w:type="pct"/>
            <w:tcBorders>
              <w:top w:val="single" w:sz="4" w:space="0" w:color="auto"/>
              <w:left w:val="single" w:sz="4" w:space="0" w:color="auto"/>
              <w:bottom w:val="single" w:sz="4" w:space="0" w:color="auto"/>
              <w:right w:val="nil"/>
            </w:tcBorders>
            <w:vAlign w:val="top"/>
          </w:tcPr>
          <w:p w14:paraId="65366FB7" w14:textId="77777777" w:rsidR="00030303" w:rsidRPr="00D96D9D" w:rsidRDefault="00030303" w:rsidP="00030303">
            <w:pPr>
              <w:spacing w:after="0" w:line="240" w:lineRule="auto"/>
              <w:rPr>
                <w:rFonts w:asciiTheme="minorHAnsi" w:eastAsia="Times New Roman" w:hAnsiTheme="minorHAnsi" w:cs="Times New Roman"/>
                <w:color w:val="222222"/>
                <w:w w:val="100"/>
                <w:kern w:val="0"/>
                <w:sz w:val="19"/>
                <w:szCs w:val="19"/>
              </w:rPr>
            </w:pPr>
            <w:r w:rsidRPr="00D96D9D">
              <w:rPr>
                <w:rFonts w:asciiTheme="minorHAnsi" w:hAnsiTheme="minorHAnsi"/>
                <w:color w:val="222222"/>
                <w:sz w:val="19"/>
                <w:szCs w:val="19"/>
              </w:rPr>
              <w:t>Commission of inquiry into the efficiency and administration of hospitals</w:t>
            </w:r>
          </w:p>
        </w:tc>
        <w:tc>
          <w:tcPr>
            <w:tcW w:w="1241" w:type="pct"/>
            <w:tcBorders>
              <w:top w:val="single" w:sz="4" w:space="0" w:color="auto"/>
              <w:left w:val="nil"/>
              <w:bottom w:val="single" w:sz="4" w:space="0" w:color="auto"/>
              <w:right w:val="single" w:sz="4" w:space="0" w:color="auto"/>
            </w:tcBorders>
            <w:shd w:val="clear" w:color="auto" w:fill="D9D9D9"/>
            <w:vAlign w:val="top"/>
          </w:tcPr>
          <w:p w14:paraId="7468A5AE" w14:textId="77777777" w:rsidR="00030303" w:rsidRPr="00D96D9D" w:rsidRDefault="00030303" w:rsidP="00030303">
            <w:pPr>
              <w:rPr>
                <w:rFonts w:asciiTheme="minorHAnsi" w:hAnsiTheme="minorHAnsi"/>
                <w:color w:val="222222"/>
                <w:sz w:val="19"/>
                <w:szCs w:val="19"/>
              </w:rPr>
            </w:pPr>
            <w:r w:rsidRPr="00D96D9D">
              <w:rPr>
                <w:rFonts w:asciiTheme="minorHAnsi" w:hAnsiTheme="minorHAnsi"/>
                <w:color w:val="222222"/>
                <w:sz w:val="19"/>
                <w:szCs w:val="19"/>
              </w:rPr>
              <w:t>29 August 1979–26 February 1981</w:t>
            </w:r>
          </w:p>
        </w:tc>
      </w:tr>
      <w:tr w:rsidR="00030303" w:rsidRPr="00DB2B77" w14:paraId="769D9249" w14:textId="77777777" w:rsidTr="00030303">
        <w:tc>
          <w:tcPr>
            <w:tcW w:w="3759" w:type="pct"/>
            <w:tcBorders>
              <w:top w:val="single" w:sz="4" w:space="0" w:color="auto"/>
              <w:left w:val="single" w:sz="4" w:space="0" w:color="auto"/>
              <w:bottom w:val="single" w:sz="4" w:space="0" w:color="auto"/>
              <w:right w:val="nil"/>
            </w:tcBorders>
            <w:vAlign w:val="top"/>
          </w:tcPr>
          <w:p w14:paraId="06B6B84B" w14:textId="77777777" w:rsidR="00030303" w:rsidRPr="00D96D9D" w:rsidRDefault="00030303" w:rsidP="00030303">
            <w:pPr>
              <w:spacing w:after="0" w:line="240" w:lineRule="auto"/>
              <w:rPr>
                <w:rFonts w:asciiTheme="minorHAnsi" w:eastAsia="Times New Roman" w:hAnsiTheme="minorHAnsi" w:cs="Times New Roman"/>
                <w:color w:val="222222"/>
                <w:w w:val="100"/>
                <w:kern w:val="0"/>
                <w:sz w:val="19"/>
                <w:szCs w:val="19"/>
              </w:rPr>
            </w:pPr>
            <w:r w:rsidRPr="00D96D9D">
              <w:rPr>
                <w:rFonts w:asciiTheme="minorHAnsi" w:hAnsiTheme="minorHAnsi"/>
                <w:color w:val="222222"/>
                <w:sz w:val="19"/>
                <w:szCs w:val="19"/>
              </w:rPr>
              <w:t>Commission of inquiry into the viability of the Christmas Island phosphate industry</w:t>
            </w:r>
          </w:p>
        </w:tc>
        <w:tc>
          <w:tcPr>
            <w:tcW w:w="1241" w:type="pct"/>
            <w:tcBorders>
              <w:top w:val="single" w:sz="4" w:space="0" w:color="auto"/>
              <w:left w:val="nil"/>
              <w:bottom w:val="single" w:sz="4" w:space="0" w:color="auto"/>
              <w:right w:val="single" w:sz="4" w:space="0" w:color="auto"/>
            </w:tcBorders>
            <w:shd w:val="clear" w:color="auto" w:fill="D9D9D9"/>
            <w:vAlign w:val="top"/>
          </w:tcPr>
          <w:p w14:paraId="2AC8DB9B" w14:textId="77777777" w:rsidR="00030303" w:rsidRPr="00D96D9D" w:rsidRDefault="00030303" w:rsidP="00030303">
            <w:pPr>
              <w:rPr>
                <w:rFonts w:asciiTheme="minorHAnsi" w:hAnsiTheme="minorHAnsi"/>
                <w:color w:val="222222"/>
                <w:sz w:val="19"/>
                <w:szCs w:val="19"/>
              </w:rPr>
            </w:pPr>
            <w:r w:rsidRPr="00D96D9D">
              <w:rPr>
                <w:rFonts w:asciiTheme="minorHAnsi" w:hAnsiTheme="minorHAnsi"/>
                <w:color w:val="222222"/>
                <w:sz w:val="19"/>
                <w:szCs w:val="19"/>
              </w:rPr>
              <w:t>20 December 1979–21 February 1980</w:t>
            </w:r>
          </w:p>
        </w:tc>
      </w:tr>
      <w:tr w:rsidR="00030303" w:rsidRPr="00DB2B77" w14:paraId="28F97D98" w14:textId="77777777" w:rsidTr="00030303">
        <w:tc>
          <w:tcPr>
            <w:tcW w:w="3759" w:type="pct"/>
            <w:tcBorders>
              <w:top w:val="single" w:sz="4" w:space="0" w:color="auto"/>
              <w:left w:val="single" w:sz="4" w:space="0" w:color="auto"/>
              <w:bottom w:val="single" w:sz="4" w:space="0" w:color="auto"/>
              <w:right w:val="nil"/>
            </w:tcBorders>
            <w:vAlign w:val="top"/>
          </w:tcPr>
          <w:p w14:paraId="1601F794" w14:textId="77777777" w:rsidR="00030303" w:rsidRPr="00D96D9D" w:rsidRDefault="00030303" w:rsidP="00030303">
            <w:pPr>
              <w:spacing w:after="0" w:line="240" w:lineRule="auto"/>
              <w:rPr>
                <w:rFonts w:asciiTheme="minorHAnsi" w:eastAsia="Times New Roman" w:hAnsiTheme="minorHAnsi" w:cs="Times New Roman"/>
                <w:color w:val="222222"/>
                <w:w w:val="100"/>
                <w:kern w:val="0"/>
                <w:sz w:val="19"/>
                <w:szCs w:val="19"/>
              </w:rPr>
            </w:pPr>
            <w:r w:rsidRPr="00D96D9D">
              <w:rPr>
                <w:rFonts w:asciiTheme="minorHAnsi" w:hAnsiTheme="minorHAnsi"/>
                <w:color w:val="222222"/>
                <w:sz w:val="19"/>
                <w:szCs w:val="19"/>
              </w:rPr>
              <w:t>Royal Commission on the activities of the Federated Ship Painters and Dockers Union</w:t>
            </w:r>
          </w:p>
        </w:tc>
        <w:tc>
          <w:tcPr>
            <w:tcW w:w="1241" w:type="pct"/>
            <w:tcBorders>
              <w:top w:val="single" w:sz="4" w:space="0" w:color="auto"/>
              <w:left w:val="nil"/>
              <w:bottom w:val="single" w:sz="4" w:space="0" w:color="auto"/>
              <w:right w:val="single" w:sz="4" w:space="0" w:color="auto"/>
            </w:tcBorders>
            <w:shd w:val="clear" w:color="auto" w:fill="D9D9D9"/>
            <w:vAlign w:val="top"/>
          </w:tcPr>
          <w:p w14:paraId="6483A262" w14:textId="77777777" w:rsidR="00030303" w:rsidRPr="00D96D9D" w:rsidRDefault="00030303" w:rsidP="00030303">
            <w:pPr>
              <w:rPr>
                <w:rFonts w:asciiTheme="minorHAnsi" w:hAnsiTheme="minorHAnsi"/>
                <w:color w:val="222222"/>
                <w:sz w:val="19"/>
                <w:szCs w:val="19"/>
              </w:rPr>
            </w:pPr>
            <w:r w:rsidRPr="00D96D9D">
              <w:rPr>
                <w:rFonts w:asciiTheme="minorHAnsi" w:hAnsiTheme="minorHAnsi"/>
                <w:color w:val="222222"/>
                <w:sz w:val="19"/>
                <w:szCs w:val="19"/>
              </w:rPr>
              <w:t>10 September 1980–1 November 1984</w:t>
            </w:r>
          </w:p>
        </w:tc>
      </w:tr>
      <w:tr w:rsidR="00030303" w:rsidRPr="00DB2B77" w14:paraId="39E8CB93" w14:textId="77777777" w:rsidTr="00030303">
        <w:tc>
          <w:tcPr>
            <w:tcW w:w="3759" w:type="pct"/>
            <w:tcBorders>
              <w:top w:val="single" w:sz="4" w:space="0" w:color="auto"/>
              <w:left w:val="single" w:sz="4" w:space="0" w:color="auto"/>
              <w:bottom w:val="single" w:sz="4" w:space="0" w:color="auto"/>
              <w:right w:val="nil"/>
            </w:tcBorders>
            <w:vAlign w:val="top"/>
          </w:tcPr>
          <w:p w14:paraId="0653EA97" w14:textId="77777777" w:rsidR="00030303" w:rsidRPr="00D96D9D" w:rsidRDefault="00030303" w:rsidP="00030303">
            <w:pPr>
              <w:spacing w:after="0" w:line="240" w:lineRule="auto"/>
              <w:rPr>
                <w:rFonts w:asciiTheme="minorHAnsi" w:eastAsia="Times New Roman" w:hAnsiTheme="minorHAnsi" w:cs="Times New Roman"/>
                <w:color w:val="222222"/>
                <w:w w:val="100"/>
                <w:kern w:val="0"/>
                <w:sz w:val="19"/>
                <w:szCs w:val="19"/>
              </w:rPr>
            </w:pPr>
            <w:r w:rsidRPr="00D96D9D">
              <w:rPr>
                <w:rFonts w:asciiTheme="minorHAnsi" w:hAnsiTheme="minorHAnsi"/>
                <w:color w:val="222222"/>
                <w:sz w:val="19"/>
                <w:szCs w:val="19"/>
              </w:rPr>
              <w:t>Royal Commission of inquiry into drug trafficking</w:t>
            </w:r>
          </w:p>
        </w:tc>
        <w:tc>
          <w:tcPr>
            <w:tcW w:w="1241" w:type="pct"/>
            <w:tcBorders>
              <w:top w:val="single" w:sz="4" w:space="0" w:color="auto"/>
              <w:left w:val="nil"/>
              <w:bottom w:val="single" w:sz="4" w:space="0" w:color="auto"/>
              <w:right w:val="single" w:sz="4" w:space="0" w:color="auto"/>
            </w:tcBorders>
            <w:shd w:val="clear" w:color="auto" w:fill="D9D9D9"/>
            <w:vAlign w:val="top"/>
          </w:tcPr>
          <w:p w14:paraId="5C5B6970" w14:textId="77777777" w:rsidR="00030303" w:rsidRPr="00D96D9D" w:rsidRDefault="00030303" w:rsidP="00030303">
            <w:pPr>
              <w:rPr>
                <w:rFonts w:asciiTheme="minorHAnsi" w:hAnsiTheme="minorHAnsi"/>
                <w:color w:val="222222"/>
                <w:sz w:val="19"/>
                <w:szCs w:val="19"/>
              </w:rPr>
            </w:pPr>
            <w:r w:rsidRPr="00D96D9D">
              <w:rPr>
                <w:rFonts w:asciiTheme="minorHAnsi" w:hAnsiTheme="minorHAnsi"/>
                <w:color w:val="222222"/>
                <w:sz w:val="19"/>
                <w:szCs w:val="19"/>
              </w:rPr>
              <w:t>25 June 1981–31 May 1983</w:t>
            </w:r>
          </w:p>
        </w:tc>
      </w:tr>
      <w:tr w:rsidR="00030303" w:rsidRPr="00DB2B77" w14:paraId="4DF88430" w14:textId="77777777" w:rsidTr="00030303">
        <w:tc>
          <w:tcPr>
            <w:tcW w:w="3759" w:type="pct"/>
            <w:tcBorders>
              <w:top w:val="single" w:sz="4" w:space="0" w:color="auto"/>
              <w:left w:val="single" w:sz="4" w:space="0" w:color="auto"/>
              <w:bottom w:val="single" w:sz="4" w:space="0" w:color="auto"/>
              <w:right w:val="nil"/>
            </w:tcBorders>
            <w:vAlign w:val="top"/>
          </w:tcPr>
          <w:p w14:paraId="32D690BB" w14:textId="77777777" w:rsidR="00030303" w:rsidRPr="00D96D9D" w:rsidRDefault="00030303" w:rsidP="00030303">
            <w:pPr>
              <w:spacing w:after="0" w:line="240" w:lineRule="auto"/>
              <w:rPr>
                <w:rFonts w:asciiTheme="minorHAnsi" w:eastAsia="Times New Roman" w:hAnsiTheme="minorHAnsi" w:cs="Times New Roman"/>
                <w:color w:val="222222"/>
                <w:w w:val="100"/>
                <w:kern w:val="0"/>
                <w:sz w:val="19"/>
                <w:szCs w:val="19"/>
              </w:rPr>
            </w:pPr>
            <w:r>
              <w:rPr>
                <w:rFonts w:asciiTheme="minorHAnsi" w:hAnsiTheme="minorHAnsi"/>
                <w:color w:val="222222"/>
                <w:sz w:val="19"/>
                <w:szCs w:val="19"/>
              </w:rPr>
              <w:t>R</w:t>
            </w:r>
            <w:r w:rsidRPr="00D96D9D">
              <w:rPr>
                <w:rFonts w:asciiTheme="minorHAnsi" w:hAnsiTheme="minorHAnsi"/>
                <w:color w:val="222222"/>
                <w:sz w:val="19"/>
                <w:szCs w:val="19"/>
              </w:rPr>
              <w:t>oyal Commission into the activities of the Australian Building Construction Employees' and Builders Labourers' Federation</w:t>
            </w:r>
          </w:p>
        </w:tc>
        <w:tc>
          <w:tcPr>
            <w:tcW w:w="1241" w:type="pct"/>
            <w:tcBorders>
              <w:top w:val="single" w:sz="4" w:space="0" w:color="auto"/>
              <w:left w:val="nil"/>
              <w:bottom w:val="single" w:sz="4" w:space="0" w:color="auto"/>
              <w:right w:val="single" w:sz="4" w:space="0" w:color="auto"/>
            </w:tcBorders>
            <w:shd w:val="clear" w:color="auto" w:fill="D9D9D9"/>
            <w:vAlign w:val="top"/>
          </w:tcPr>
          <w:p w14:paraId="6C7B36F7" w14:textId="77777777" w:rsidR="00030303" w:rsidRPr="00D96D9D" w:rsidRDefault="00030303" w:rsidP="00030303">
            <w:pPr>
              <w:rPr>
                <w:rFonts w:asciiTheme="minorHAnsi" w:hAnsiTheme="minorHAnsi"/>
                <w:color w:val="222222"/>
                <w:sz w:val="19"/>
                <w:szCs w:val="19"/>
              </w:rPr>
            </w:pPr>
            <w:r w:rsidRPr="00D96D9D">
              <w:rPr>
                <w:rFonts w:asciiTheme="minorHAnsi" w:hAnsiTheme="minorHAnsi"/>
                <w:color w:val="222222"/>
                <w:sz w:val="19"/>
                <w:szCs w:val="19"/>
              </w:rPr>
              <w:t>20 August 1981–20 October 1982</w:t>
            </w:r>
          </w:p>
        </w:tc>
      </w:tr>
      <w:tr w:rsidR="00030303" w:rsidRPr="00DB2B77" w14:paraId="05BC908E" w14:textId="77777777" w:rsidTr="00030303">
        <w:tc>
          <w:tcPr>
            <w:tcW w:w="3759" w:type="pct"/>
            <w:tcBorders>
              <w:top w:val="single" w:sz="4" w:space="0" w:color="auto"/>
              <w:left w:val="single" w:sz="4" w:space="0" w:color="auto"/>
              <w:bottom w:val="single" w:sz="4" w:space="0" w:color="auto"/>
              <w:right w:val="nil"/>
            </w:tcBorders>
            <w:vAlign w:val="top"/>
          </w:tcPr>
          <w:p w14:paraId="51F3F2FD" w14:textId="77777777" w:rsidR="00030303" w:rsidRPr="00D96D9D" w:rsidRDefault="00030303" w:rsidP="00030303">
            <w:pPr>
              <w:spacing w:after="0" w:line="240" w:lineRule="auto"/>
              <w:rPr>
                <w:rFonts w:asciiTheme="minorHAnsi" w:eastAsia="Times New Roman" w:hAnsiTheme="minorHAnsi" w:cs="Times New Roman"/>
                <w:color w:val="222222"/>
                <w:w w:val="100"/>
                <w:kern w:val="0"/>
                <w:sz w:val="19"/>
                <w:szCs w:val="19"/>
              </w:rPr>
            </w:pPr>
            <w:r w:rsidRPr="00D96D9D">
              <w:rPr>
                <w:rFonts w:asciiTheme="minorHAnsi" w:hAnsiTheme="minorHAnsi"/>
                <w:color w:val="222222"/>
                <w:sz w:val="19"/>
                <w:szCs w:val="19"/>
              </w:rPr>
              <w:t>Royal Commission into Australian meat industry</w:t>
            </w:r>
          </w:p>
        </w:tc>
        <w:tc>
          <w:tcPr>
            <w:tcW w:w="1241" w:type="pct"/>
            <w:tcBorders>
              <w:top w:val="single" w:sz="4" w:space="0" w:color="auto"/>
              <w:left w:val="nil"/>
              <w:bottom w:val="single" w:sz="4" w:space="0" w:color="auto"/>
              <w:right w:val="single" w:sz="4" w:space="0" w:color="auto"/>
            </w:tcBorders>
            <w:shd w:val="clear" w:color="auto" w:fill="D9D9D9"/>
            <w:vAlign w:val="top"/>
          </w:tcPr>
          <w:p w14:paraId="16BDADAD" w14:textId="77777777" w:rsidR="00030303" w:rsidRPr="00D96D9D" w:rsidRDefault="00030303" w:rsidP="00030303">
            <w:pPr>
              <w:rPr>
                <w:rFonts w:asciiTheme="minorHAnsi" w:hAnsiTheme="minorHAnsi"/>
                <w:color w:val="222222"/>
                <w:sz w:val="19"/>
                <w:szCs w:val="19"/>
              </w:rPr>
            </w:pPr>
            <w:r w:rsidRPr="00D96D9D">
              <w:rPr>
                <w:rFonts w:asciiTheme="minorHAnsi" w:hAnsiTheme="minorHAnsi"/>
                <w:color w:val="222222"/>
                <w:sz w:val="19"/>
                <w:szCs w:val="19"/>
              </w:rPr>
              <w:t>12 September 1981–21 September 1982</w:t>
            </w:r>
          </w:p>
        </w:tc>
      </w:tr>
      <w:tr w:rsidR="00030303" w:rsidRPr="00DB2B77" w14:paraId="13769115" w14:textId="77777777" w:rsidTr="00030303">
        <w:tc>
          <w:tcPr>
            <w:tcW w:w="3759" w:type="pct"/>
            <w:tcBorders>
              <w:top w:val="single" w:sz="4" w:space="0" w:color="auto"/>
              <w:left w:val="single" w:sz="4" w:space="0" w:color="auto"/>
              <w:bottom w:val="single" w:sz="4" w:space="0" w:color="auto"/>
              <w:right w:val="nil"/>
            </w:tcBorders>
            <w:vAlign w:val="top"/>
          </w:tcPr>
          <w:p w14:paraId="2E024EBC" w14:textId="77777777" w:rsidR="00030303" w:rsidRPr="00D96D9D" w:rsidRDefault="00030303" w:rsidP="00030303">
            <w:pPr>
              <w:spacing w:after="0" w:line="240" w:lineRule="auto"/>
              <w:rPr>
                <w:rFonts w:asciiTheme="minorHAnsi" w:eastAsia="Times New Roman" w:hAnsiTheme="minorHAnsi" w:cs="Times New Roman"/>
                <w:color w:val="222222"/>
                <w:w w:val="100"/>
                <w:kern w:val="0"/>
                <w:sz w:val="19"/>
                <w:szCs w:val="19"/>
              </w:rPr>
            </w:pPr>
            <w:r w:rsidRPr="00D96D9D">
              <w:rPr>
                <w:rFonts w:asciiTheme="minorHAnsi" w:hAnsiTheme="minorHAnsi"/>
                <w:color w:val="222222"/>
                <w:sz w:val="19"/>
                <w:szCs w:val="19"/>
              </w:rPr>
              <w:t xml:space="preserve">Royal Commission of inquiry into the activities of the </w:t>
            </w:r>
            <w:proofErr w:type="spellStart"/>
            <w:r w:rsidRPr="00D96D9D">
              <w:rPr>
                <w:rFonts w:asciiTheme="minorHAnsi" w:hAnsiTheme="minorHAnsi"/>
                <w:color w:val="222222"/>
                <w:sz w:val="19"/>
                <w:szCs w:val="19"/>
              </w:rPr>
              <w:t>Nugan</w:t>
            </w:r>
            <w:proofErr w:type="spellEnd"/>
            <w:r w:rsidRPr="00D96D9D">
              <w:rPr>
                <w:rFonts w:asciiTheme="minorHAnsi" w:hAnsiTheme="minorHAnsi"/>
                <w:color w:val="222222"/>
                <w:sz w:val="19"/>
                <w:szCs w:val="19"/>
              </w:rPr>
              <w:t xml:space="preserve"> Hand Group [extension of the Royal Commission of Inquiry into Drug Trafficking 1981–1983]</w:t>
            </w:r>
          </w:p>
        </w:tc>
        <w:tc>
          <w:tcPr>
            <w:tcW w:w="1241" w:type="pct"/>
            <w:tcBorders>
              <w:top w:val="single" w:sz="4" w:space="0" w:color="auto"/>
              <w:left w:val="nil"/>
              <w:bottom w:val="single" w:sz="4" w:space="0" w:color="auto"/>
              <w:right w:val="single" w:sz="4" w:space="0" w:color="auto"/>
            </w:tcBorders>
            <w:shd w:val="clear" w:color="auto" w:fill="D9D9D9"/>
            <w:vAlign w:val="top"/>
          </w:tcPr>
          <w:p w14:paraId="29935026" w14:textId="77777777" w:rsidR="00030303" w:rsidRPr="00D96D9D" w:rsidRDefault="00030303" w:rsidP="00030303">
            <w:pPr>
              <w:rPr>
                <w:rFonts w:asciiTheme="minorHAnsi" w:hAnsiTheme="minorHAnsi"/>
                <w:color w:val="222222"/>
                <w:sz w:val="19"/>
                <w:szCs w:val="19"/>
              </w:rPr>
            </w:pPr>
            <w:r w:rsidRPr="00D96D9D">
              <w:rPr>
                <w:rFonts w:asciiTheme="minorHAnsi" w:hAnsiTheme="minorHAnsi"/>
                <w:color w:val="222222"/>
                <w:sz w:val="19"/>
                <w:szCs w:val="19"/>
              </w:rPr>
              <w:t>28 March 1983–27 November 1985</w:t>
            </w:r>
          </w:p>
        </w:tc>
      </w:tr>
      <w:tr w:rsidR="00030303" w:rsidRPr="00DB2B77" w14:paraId="150E013C" w14:textId="77777777" w:rsidTr="00030303">
        <w:tc>
          <w:tcPr>
            <w:tcW w:w="3759" w:type="pct"/>
            <w:tcBorders>
              <w:top w:val="single" w:sz="4" w:space="0" w:color="auto"/>
              <w:left w:val="single" w:sz="4" w:space="0" w:color="auto"/>
              <w:bottom w:val="single" w:sz="4" w:space="0" w:color="auto"/>
              <w:right w:val="nil"/>
            </w:tcBorders>
            <w:vAlign w:val="top"/>
          </w:tcPr>
          <w:p w14:paraId="46A88CD9" w14:textId="77777777" w:rsidR="00030303" w:rsidRPr="00D96D9D" w:rsidRDefault="00030303" w:rsidP="00030303">
            <w:pPr>
              <w:spacing w:after="0" w:line="240" w:lineRule="auto"/>
              <w:rPr>
                <w:rFonts w:asciiTheme="minorHAnsi" w:eastAsia="Times New Roman" w:hAnsiTheme="minorHAnsi" w:cs="Times New Roman"/>
                <w:color w:val="222222"/>
                <w:w w:val="100"/>
                <w:kern w:val="0"/>
                <w:sz w:val="19"/>
                <w:szCs w:val="19"/>
              </w:rPr>
            </w:pPr>
            <w:r w:rsidRPr="00D96D9D">
              <w:rPr>
                <w:rFonts w:asciiTheme="minorHAnsi" w:hAnsiTheme="minorHAnsi"/>
                <w:color w:val="222222"/>
                <w:sz w:val="19"/>
                <w:szCs w:val="19"/>
              </w:rPr>
              <w:t>Royal Commission on the use and effects of chemical agents on Australian personnel in Vietnam</w:t>
            </w:r>
          </w:p>
        </w:tc>
        <w:tc>
          <w:tcPr>
            <w:tcW w:w="1241" w:type="pct"/>
            <w:tcBorders>
              <w:top w:val="single" w:sz="4" w:space="0" w:color="auto"/>
              <w:left w:val="nil"/>
              <w:bottom w:val="single" w:sz="4" w:space="0" w:color="auto"/>
              <w:right w:val="single" w:sz="4" w:space="0" w:color="auto"/>
            </w:tcBorders>
            <w:shd w:val="clear" w:color="auto" w:fill="D9D9D9"/>
            <w:vAlign w:val="top"/>
          </w:tcPr>
          <w:p w14:paraId="4B303FD7" w14:textId="77777777" w:rsidR="00030303" w:rsidRPr="00D96D9D" w:rsidRDefault="00030303" w:rsidP="00030303">
            <w:pPr>
              <w:rPr>
                <w:rFonts w:asciiTheme="minorHAnsi" w:hAnsiTheme="minorHAnsi"/>
                <w:color w:val="222222"/>
                <w:sz w:val="19"/>
                <w:szCs w:val="19"/>
              </w:rPr>
            </w:pPr>
            <w:r w:rsidRPr="00D96D9D">
              <w:rPr>
                <w:rFonts w:asciiTheme="minorHAnsi" w:hAnsiTheme="minorHAnsi"/>
                <w:color w:val="222222"/>
                <w:sz w:val="19"/>
                <w:szCs w:val="19"/>
              </w:rPr>
              <w:t>13 May 1983–22 August 1985</w:t>
            </w:r>
          </w:p>
        </w:tc>
      </w:tr>
      <w:tr w:rsidR="00030303" w:rsidRPr="00DB2B77" w14:paraId="7F297594" w14:textId="77777777" w:rsidTr="00030303">
        <w:tc>
          <w:tcPr>
            <w:tcW w:w="3759" w:type="pct"/>
            <w:tcBorders>
              <w:top w:val="single" w:sz="4" w:space="0" w:color="auto"/>
              <w:left w:val="single" w:sz="4" w:space="0" w:color="auto"/>
              <w:bottom w:val="single" w:sz="4" w:space="0" w:color="auto"/>
              <w:right w:val="nil"/>
            </w:tcBorders>
            <w:vAlign w:val="top"/>
          </w:tcPr>
          <w:p w14:paraId="55522460" w14:textId="77777777" w:rsidR="00030303" w:rsidRPr="00D96D9D" w:rsidRDefault="00030303" w:rsidP="00030303">
            <w:pPr>
              <w:spacing w:after="0" w:line="240" w:lineRule="auto"/>
              <w:rPr>
                <w:rFonts w:asciiTheme="minorHAnsi" w:eastAsia="Times New Roman" w:hAnsiTheme="minorHAnsi" w:cs="Times New Roman"/>
                <w:color w:val="222222"/>
                <w:w w:val="100"/>
                <w:kern w:val="0"/>
                <w:sz w:val="19"/>
                <w:szCs w:val="19"/>
              </w:rPr>
            </w:pPr>
            <w:r w:rsidRPr="00D96D9D">
              <w:rPr>
                <w:rFonts w:asciiTheme="minorHAnsi" w:hAnsiTheme="minorHAnsi"/>
                <w:color w:val="222222"/>
                <w:sz w:val="19"/>
                <w:szCs w:val="19"/>
              </w:rPr>
              <w:t>Royal Commission on Australia's security and intelligence agencies</w:t>
            </w:r>
          </w:p>
        </w:tc>
        <w:tc>
          <w:tcPr>
            <w:tcW w:w="1241" w:type="pct"/>
            <w:tcBorders>
              <w:top w:val="single" w:sz="4" w:space="0" w:color="auto"/>
              <w:left w:val="nil"/>
              <w:bottom w:val="single" w:sz="4" w:space="0" w:color="auto"/>
              <w:right w:val="single" w:sz="4" w:space="0" w:color="auto"/>
            </w:tcBorders>
            <w:shd w:val="clear" w:color="auto" w:fill="D9D9D9"/>
            <w:vAlign w:val="top"/>
          </w:tcPr>
          <w:p w14:paraId="4B4A5EF3" w14:textId="77777777" w:rsidR="00030303" w:rsidRPr="00D96D9D" w:rsidRDefault="00030303" w:rsidP="00030303">
            <w:pPr>
              <w:rPr>
                <w:rFonts w:asciiTheme="minorHAnsi" w:hAnsiTheme="minorHAnsi"/>
                <w:color w:val="222222"/>
                <w:sz w:val="19"/>
                <w:szCs w:val="19"/>
              </w:rPr>
            </w:pPr>
            <w:r w:rsidRPr="00D96D9D">
              <w:rPr>
                <w:rFonts w:asciiTheme="minorHAnsi" w:hAnsiTheme="minorHAnsi"/>
                <w:color w:val="222222"/>
                <w:sz w:val="19"/>
                <w:szCs w:val="19"/>
              </w:rPr>
              <w:t>17 May 1983–22 May 1985</w:t>
            </w:r>
          </w:p>
        </w:tc>
      </w:tr>
      <w:tr w:rsidR="00030303" w:rsidRPr="00DB2B77" w14:paraId="043C8D29" w14:textId="77777777" w:rsidTr="00030303">
        <w:tc>
          <w:tcPr>
            <w:tcW w:w="3759" w:type="pct"/>
            <w:tcBorders>
              <w:top w:val="single" w:sz="4" w:space="0" w:color="auto"/>
              <w:left w:val="single" w:sz="4" w:space="0" w:color="auto"/>
              <w:bottom w:val="single" w:sz="4" w:space="0" w:color="auto"/>
              <w:right w:val="nil"/>
            </w:tcBorders>
            <w:vAlign w:val="top"/>
          </w:tcPr>
          <w:p w14:paraId="74909EC8" w14:textId="77777777" w:rsidR="00030303" w:rsidRPr="00D96D9D" w:rsidRDefault="00030303" w:rsidP="00030303">
            <w:pPr>
              <w:spacing w:after="0" w:line="240" w:lineRule="auto"/>
              <w:rPr>
                <w:rFonts w:asciiTheme="minorHAnsi" w:eastAsia="Times New Roman" w:hAnsiTheme="minorHAnsi" w:cs="Times New Roman"/>
                <w:color w:val="222222"/>
                <w:w w:val="100"/>
                <w:kern w:val="0"/>
                <w:sz w:val="19"/>
                <w:szCs w:val="19"/>
              </w:rPr>
            </w:pPr>
            <w:r w:rsidRPr="00D96D9D">
              <w:rPr>
                <w:rFonts w:asciiTheme="minorHAnsi" w:hAnsiTheme="minorHAnsi"/>
                <w:color w:val="222222"/>
                <w:sz w:val="19"/>
                <w:szCs w:val="19"/>
              </w:rPr>
              <w:lastRenderedPageBreak/>
              <w:t>Commission of inquiry into compensation arising from social security conspiracy prosecutions</w:t>
            </w:r>
          </w:p>
        </w:tc>
        <w:tc>
          <w:tcPr>
            <w:tcW w:w="1241" w:type="pct"/>
            <w:tcBorders>
              <w:top w:val="single" w:sz="4" w:space="0" w:color="auto"/>
              <w:left w:val="nil"/>
              <w:bottom w:val="single" w:sz="4" w:space="0" w:color="auto"/>
              <w:right w:val="single" w:sz="4" w:space="0" w:color="auto"/>
            </w:tcBorders>
            <w:shd w:val="clear" w:color="auto" w:fill="D9D9D9"/>
            <w:vAlign w:val="top"/>
          </w:tcPr>
          <w:p w14:paraId="6B284DC6" w14:textId="77777777" w:rsidR="00030303" w:rsidRPr="00D96D9D" w:rsidRDefault="00030303" w:rsidP="00030303">
            <w:pPr>
              <w:rPr>
                <w:rFonts w:asciiTheme="minorHAnsi" w:hAnsiTheme="minorHAnsi"/>
                <w:color w:val="222222"/>
                <w:sz w:val="19"/>
                <w:szCs w:val="19"/>
              </w:rPr>
            </w:pPr>
            <w:r w:rsidRPr="00D96D9D">
              <w:rPr>
                <w:rFonts w:asciiTheme="minorHAnsi" w:hAnsiTheme="minorHAnsi"/>
                <w:color w:val="222222"/>
                <w:sz w:val="19"/>
                <w:szCs w:val="19"/>
              </w:rPr>
              <w:t>9 February 1984–10 June 1986</w:t>
            </w:r>
          </w:p>
        </w:tc>
      </w:tr>
      <w:tr w:rsidR="00030303" w:rsidRPr="00DB2B77" w14:paraId="4E472E45" w14:textId="77777777" w:rsidTr="00030303">
        <w:tc>
          <w:tcPr>
            <w:tcW w:w="3759" w:type="pct"/>
            <w:tcBorders>
              <w:top w:val="single" w:sz="4" w:space="0" w:color="auto"/>
              <w:left w:val="single" w:sz="4" w:space="0" w:color="auto"/>
              <w:bottom w:val="single" w:sz="4" w:space="0" w:color="auto"/>
              <w:right w:val="nil"/>
            </w:tcBorders>
            <w:vAlign w:val="top"/>
          </w:tcPr>
          <w:p w14:paraId="2200047C" w14:textId="77777777" w:rsidR="00030303" w:rsidRPr="00D96D9D" w:rsidRDefault="00030303" w:rsidP="00030303">
            <w:pPr>
              <w:spacing w:after="0" w:line="240" w:lineRule="auto"/>
              <w:rPr>
                <w:rFonts w:asciiTheme="minorHAnsi" w:eastAsia="Times New Roman" w:hAnsiTheme="minorHAnsi" w:cs="Times New Roman"/>
                <w:color w:val="222222"/>
                <w:w w:val="100"/>
                <w:kern w:val="0"/>
                <w:sz w:val="19"/>
                <w:szCs w:val="19"/>
              </w:rPr>
            </w:pPr>
            <w:r w:rsidRPr="00D96D9D">
              <w:rPr>
                <w:rFonts w:asciiTheme="minorHAnsi" w:hAnsiTheme="minorHAnsi"/>
                <w:color w:val="222222"/>
                <w:sz w:val="19"/>
                <w:szCs w:val="19"/>
              </w:rPr>
              <w:t>Royal Commission into British nuclear tests in Australia</w:t>
            </w:r>
          </w:p>
        </w:tc>
        <w:tc>
          <w:tcPr>
            <w:tcW w:w="1241" w:type="pct"/>
            <w:tcBorders>
              <w:top w:val="single" w:sz="4" w:space="0" w:color="auto"/>
              <w:left w:val="nil"/>
              <w:bottom w:val="single" w:sz="4" w:space="0" w:color="auto"/>
              <w:right w:val="single" w:sz="4" w:space="0" w:color="auto"/>
            </w:tcBorders>
            <w:shd w:val="clear" w:color="auto" w:fill="D9D9D9"/>
            <w:vAlign w:val="top"/>
          </w:tcPr>
          <w:p w14:paraId="75B8D16D" w14:textId="77777777" w:rsidR="00030303" w:rsidRPr="00D96D9D" w:rsidRDefault="00030303" w:rsidP="00030303">
            <w:pPr>
              <w:rPr>
                <w:rFonts w:asciiTheme="minorHAnsi" w:hAnsiTheme="minorHAnsi"/>
                <w:color w:val="222222"/>
                <w:sz w:val="19"/>
                <w:szCs w:val="19"/>
              </w:rPr>
            </w:pPr>
            <w:r w:rsidRPr="00D96D9D">
              <w:rPr>
                <w:rFonts w:asciiTheme="minorHAnsi" w:hAnsiTheme="minorHAnsi"/>
                <w:color w:val="222222"/>
                <w:sz w:val="19"/>
                <w:szCs w:val="19"/>
              </w:rPr>
              <w:t>16 July 1984–5 December 1985</w:t>
            </w:r>
          </w:p>
        </w:tc>
      </w:tr>
      <w:tr w:rsidR="00030303" w:rsidRPr="00DB2B77" w14:paraId="1B5143F0" w14:textId="77777777" w:rsidTr="00030303">
        <w:tc>
          <w:tcPr>
            <w:tcW w:w="3759" w:type="pct"/>
            <w:tcBorders>
              <w:top w:val="single" w:sz="4" w:space="0" w:color="auto"/>
              <w:left w:val="single" w:sz="4" w:space="0" w:color="auto"/>
              <w:bottom w:val="single" w:sz="4" w:space="0" w:color="auto"/>
              <w:right w:val="nil"/>
            </w:tcBorders>
            <w:vAlign w:val="top"/>
          </w:tcPr>
          <w:p w14:paraId="1BC6E7A8" w14:textId="77777777" w:rsidR="00030303" w:rsidRPr="00D96D9D" w:rsidRDefault="00030303" w:rsidP="00030303">
            <w:pPr>
              <w:spacing w:after="0" w:line="240" w:lineRule="auto"/>
              <w:rPr>
                <w:rFonts w:asciiTheme="minorHAnsi" w:eastAsia="Times New Roman" w:hAnsiTheme="minorHAnsi" w:cs="Times New Roman"/>
                <w:color w:val="222222"/>
                <w:w w:val="100"/>
                <w:kern w:val="0"/>
                <w:sz w:val="19"/>
                <w:szCs w:val="19"/>
              </w:rPr>
            </w:pPr>
            <w:r w:rsidRPr="00D96D9D">
              <w:rPr>
                <w:rFonts w:asciiTheme="minorHAnsi" w:hAnsiTheme="minorHAnsi"/>
                <w:color w:val="222222"/>
                <w:sz w:val="19"/>
                <w:szCs w:val="19"/>
              </w:rPr>
              <w:t>Royal Commission of inquiry into alleged telephone interceptions</w:t>
            </w:r>
          </w:p>
        </w:tc>
        <w:tc>
          <w:tcPr>
            <w:tcW w:w="1241" w:type="pct"/>
            <w:tcBorders>
              <w:top w:val="single" w:sz="4" w:space="0" w:color="auto"/>
              <w:left w:val="nil"/>
              <w:bottom w:val="single" w:sz="4" w:space="0" w:color="auto"/>
              <w:right w:val="single" w:sz="4" w:space="0" w:color="auto"/>
            </w:tcBorders>
            <w:shd w:val="clear" w:color="auto" w:fill="D9D9D9"/>
            <w:vAlign w:val="top"/>
          </w:tcPr>
          <w:p w14:paraId="38B1E2A9" w14:textId="77777777" w:rsidR="00030303" w:rsidRPr="00D96D9D" w:rsidRDefault="00030303" w:rsidP="00030303">
            <w:pPr>
              <w:rPr>
                <w:rFonts w:asciiTheme="minorHAnsi" w:hAnsiTheme="minorHAnsi"/>
                <w:color w:val="222222"/>
                <w:sz w:val="19"/>
                <w:szCs w:val="19"/>
              </w:rPr>
            </w:pPr>
            <w:r w:rsidRPr="00D96D9D">
              <w:rPr>
                <w:rFonts w:asciiTheme="minorHAnsi" w:hAnsiTheme="minorHAnsi"/>
                <w:color w:val="222222"/>
                <w:sz w:val="19"/>
                <w:szCs w:val="19"/>
              </w:rPr>
              <w:t>29 March 1985–1 May 1986</w:t>
            </w:r>
          </w:p>
        </w:tc>
      </w:tr>
      <w:tr w:rsidR="00030303" w:rsidRPr="00DB2B77" w14:paraId="53C0B6D9" w14:textId="77777777" w:rsidTr="00030303">
        <w:tc>
          <w:tcPr>
            <w:tcW w:w="3759" w:type="pct"/>
            <w:tcBorders>
              <w:top w:val="single" w:sz="4" w:space="0" w:color="auto"/>
              <w:left w:val="single" w:sz="4" w:space="0" w:color="auto"/>
              <w:bottom w:val="single" w:sz="4" w:space="0" w:color="auto"/>
              <w:right w:val="nil"/>
            </w:tcBorders>
            <w:vAlign w:val="top"/>
          </w:tcPr>
          <w:p w14:paraId="17A82029" w14:textId="77777777" w:rsidR="00030303" w:rsidRPr="00D96D9D" w:rsidRDefault="00030303" w:rsidP="00030303">
            <w:pPr>
              <w:spacing w:after="0" w:line="240" w:lineRule="auto"/>
              <w:rPr>
                <w:rFonts w:asciiTheme="minorHAnsi" w:eastAsia="Times New Roman" w:hAnsiTheme="minorHAnsi" w:cs="Times New Roman"/>
                <w:color w:val="222222"/>
                <w:w w:val="100"/>
                <w:kern w:val="0"/>
                <w:sz w:val="19"/>
                <w:szCs w:val="19"/>
              </w:rPr>
            </w:pPr>
            <w:r w:rsidRPr="00D96D9D">
              <w:rPr>
                <w:rFonts w:asciiTheme="minorHAnsi" w:hAnsiTheme="minorHAnsi"/>
                <w:color w:val="222222"/>
                <w:sz w:val="19"/>
                <w:szCs w:val="19"/>
              </w:rPr>
              <w:t>Royal Commission of inquiry into Chamberlain convictions</w:t>
            </w:r>
          </w:p>
        </w:tc>
        <w:tc>
          <w:tcPr>
            <w:tcW w:w="1241" w:type="pct"/>
            <w:tcBorders>
              <w:top w:val="single" w:sz="4" w:space="0" w:color="auto"/>
              <w:left w:val="nil"/>
              <w:bottom w:val="single" w:sz="4" w:space="0" w:color="auto"/>
              <w:right w:val="single" w:sz="4" w:space="0" w:color="auto"/>
            </w:tcBorders>
            <w:shd w:val="clear" w:color="auto" w:fill="D9D9D9"/>
            <w:vAlign w:val="top"/>
          </w:tcPr>
          <w:p w14:paraId="27E693CC" w14:textId="77777777" w:rsidR="00030303" w:rsidRPr="00D96D9D" w:rsidRDefault="00030303" w:rsidP="00030303">
            <w:pPr>
              <w:rPr>
                <w:rFonts w:asciiTheme="minorHAnsi" w:hAnsiTheme="minorHAnsi"/>
                <w:color w:val="222222"/>
                <w:sz w:val="19"/>
                <w:szCs w:val="19"/>
              </w:rPr>
            </w:pPr>
            <w:r w:rsidRPr="00D96D9D">
              <w:rPr>
                <w:rFonts w:asciiTheme="minorHAnsi" w:hAnsiTheme="minorHAnsi"/>
                <w:color w:val="222222"/>
                <w:sz w:val="19"/>
                <w:szCs w:val="19"/>
              </w:rPr>
              <w:t>2 April 1986–2 June 1987</w:t>
            </w:r>
          </w:p>
        </w:tc>
      </w:tr>
      <w:tr w:rsidR="00030303" w:rsidRPr="00DB2B77" w14:paraId="0B3EB650" w14:textId="77777777" w:rsidTr="00030303">
        <w:tc>
          <w:tcPr>
            <w:tcW w:w="3759" w:type="pct"/>
            <w:tcBorders>
              <w:top w:val="single" w:sz="4" w:space="0" w:color="auto"/>
              <w:left w:val="single" w:sz="4" w:space="0" w:color="auto"/>
              <w:bottom w:val="single" w:sz="4" w:space="0" w:color="auto"/>
              <w:right w:val="nil"/>
            </w:tcBorders>
            <w:vAlign w:val="top"/>
          </w:tcPr>
          <w:p w14:paraId="23339673" w14:textId="77777777" w:rsidR="00030303" w:rsidRPr="00D96D9D" w:rsidRDefault="00030303" w:rsidP="00030303">
            <w:pPr>
              <w:spacing w:after="0" w:line="240" w:lineRule="auto"/>
              <w:rPr>
                <w:rFonts w:asciiTheme="minorHAnsi" w:eastAsia="Times New Roman" w:hAnsiTheme="minorHAnsi" w:cs="Times New Roman"/>
                <w:color w:val="222222"/>
                <w:w w:val="100"/>
                <w:kern w:val="0"/>
                <w:sz w:val="19"/>
                <w:szCs w:val="19"/>
              </w:rPr>
            </w:pPr>
            <w:r w:rsidRPr="00D96D9D">
              <w:rPr>
                <w:rFonts w:asciiTheme="minorHAnsi" w:hAnsiTheme="minorHAnsi"/>
                <w:color w:val="222222"/>
                <w:sz w:val="19"/>
                <w:szCs w:val="19"/>
              </w:rPr>
              <w:t>Royal Commission into Grain Storage, Handling and Transport</w:t>
            </w:r>
          </w:p>
        </w:tc>
        <w:tc>
          <w:tcPr>
            <w:tcW w:w="1241" w:type="pct"/>
            <w:tcBorders>
              <w:top w:val="single" w:sz="4" w:space="0" w:color="auto"/>
              <w:left w:val="nil"/>
              <w:bottom w:val="single" w:sz="4" w:space="0" w:color="auto"/>
              <w:right w:val="single" w:sz="4" w:space="0" w:color="auto"/>
            </w:tcBorders>
            <w:shd w:val="clear" w:color="auto" w:fill="D9D9D9"/>
            <w:vAlign w:val="top"/>
          </w:tcPr>
          <w:p w14:paraId="0D1F77AC" w14:textId="77777777" w:rsidR="00030303" w:rsidRPr="00D96D9D" w:rsidRDefault="00030303" w:rsidP="00030303">
            <w:pPr>
              <w:rPr>
                <w:rFonts w:asciiTheme="minorHAnsi" w:hAnsiTheme="minorHAnsi"/>
                <w:color w:val="222222"/>
                <w:sz w:val="19"/>
                <w:szCs w:val="19"/>
              </w:rPr>
            </w:pPr>
            <w:r w:rsidRPr="00D96D9D">
              <w:rPr>
                <w:rFonts w:asciiTheme="minorHAnsi" w:hAnsiTheme="minorHAnsi"/>
                <w:color w:val="222222"/>
                <w:sz w:val="19"/>
                <w:szCs w:val="19"/>
              </w:rPr>
              <w:t>13 October 1986–15 March 1988</w:t>
            </w:r>
          </w:p>
        </w:tc>
      </w:tr>
      <w:tr w:rsidR="00030303" w:rsidRPr="00DB2B77" w14:paraId="75E69820" w14:textId="77777777" w:rsidTr="00030303">
        <w:tc>
          <w:tcPr>
            <w:tcW w:w="3759" w:type="pct"/>
            <w:tcBorders>
              <w:top w:val="single" w:sz="4" w:space="0" w:color="auto"/>
              <w:left w:val="single" w:sz="4" w:space="0" w:color="auto"/>
              <w:bottom w:val="single" w:sz="4" w:space="0" w:color="auto"/>
              <w:right w:val="nil"/>
            </w:tcBorders>
            <w:vAlign w:val="top"/>
          </w:tcPr>
          <w:p w14:paraId="7FE4D0B5" w14:textId="77777777" w:rsidR="00030303" w:rsidRPr="00D96D9D" w:rsidRDefault="00030303" w:rsidP="00030303">
            <w:pPr>
              <w:spacing w:after="0" w:line="240" w:lineRule="auto"/>
              <w:rPr>
                <w:rFonts w:asciiTheme="minorHAnsi" w:eastAsia="Times New Roman" w:hAnsiTheme="minorHAnsi" w:cs="Times New Roman"/>
                <w:color w:val="222222"/>
                <w:w w:val="100"/>
                <w:kern w:val="0"/>
                <w:sz w:val="19"/>
                <w:szCs w:val="19"/>
              </w:rPr>
            </w:pPr>
            <w:r w:rsidRPr="00D96D9D">
              <w:rPr>
                <w:rFonts w:asciiTheme="minorHAnsi" w:hAnsiTheme="minorHAnsi"/>
                <w:color w:val="222222"/>
                <w:sz w:val="19"/>
                <w:szCs w:val="19"/>
              </w:rPr>
              <w:t>Royal Commission into Aboriginal Deaths in Custody</w:t>
            </w:r>
          </w:p>
        </w:tc>
        <w:tc>
          <w:tcPr>
            <w:tcW w:w="1241" w:type="pct"/>
            <w:tcBorders>
              <w:top w:val="single" w:sz="4" w:space="0" w:color="auto"/>
              <w:left w:val="nil"/>
              <w:bottom w:val="single" w:sz="4" w:space="0" w:color="auto"/>
              <w:right w:val="single" w:sz="4" w:space="0" w:color="auto"/>
            </w:tcBorders>
            <w:shd w:val="clear" w:color="auto" w:fill="D9D9D9"/>
            <w:vAlign w:val="top"/>
          </w:tcPr>
          <w:p w14:paraId="0827B20F" w14:textId="77777777" w:rsidR="00030303" w:rsidRPr="00D96D9D" w:rsidRDefault="00030303" w:rsidP="00030303">
            <w:pPr>
              <w:rPr>
                <w:rFonts w:asciiTheme="minorHAnsi" w:hAnsiTheme="minorHAnsi"/>
                <w:color w:val="222222"/>
                <w:sz w:val="19"/>
                <w:szCs w:val="19"/>
              </w:rPr>
            </w:pPr>
            <w:r w:rsidRPr="00D96D9D">
              <w:rPr>
                <w:rFonts w:asciiTheme="minorHAnsi" w:hAnsiTheme="minorHAnsi"/>
                <w:color w:val="222222"/>
                <w:sz w:val="19"/>
                <w:szCs w:val="19"/>
              </w:rPr>
              <w:t>16 October 1987–9 May 1991</w:t>
            </w:r>
          </w:p>
        </w:tc>
      </w:tr>
      <w:tr w:rsidR="00030303" w:rsidRPr="00DB2B77" w14:paraId="6E9026FE" w14:textId="77777777" w:rsidTr="00030303">
        <w:tc>
          <w:tcPr>
            <w:tcW w:w="3759" w:type="pct"/>
            <w:tcBorders>
              <w:top w:val="single" w:sz="4" w:space="0" w:color="auto"/>
              <w:left w:val="single" w:sz="4" w:space="0" w:color="auto"/>
              <w:bottom w:val="single" w:sz="4" w:space="0" w:color="auto"/>
              <w:right w:val="nil"/>
            </w:tcBorders>
            <w:vAlign w:val="top"/>
          </w:tcPr>
          <w:p w14:paraId="2A670A0C" w14:textId="77777777" w:rsidR="00030303" w:rsidRPr="00D96D9D" w:rsidRDefault="00030303" w:rsidP="00030303">
            <w:pPr>
              <w:spacing w:after="0" w:line="240" w:lineRule="auto"/>
              <w:rPr>
                <w:rFonts w:asciiTheme="minorHAnsi" w:eastAsia="Times New Roman" w:hAnsiTheme="minorHAnsi" w:cs="Times New Roman"/>
                <w:color w:val="222222"/>
                <w:w w:val="100"/>
                <w:kern w:val="0"/>
                <w:sz w:val="19"/>
                <w:szCs w:val="19"/>
              </w:rPr>
            </w:pPr>
            <w:r w:rsidRPr="00D96D9D">
              <w:rPr>
                <w:rFonts w:asciiTheme="minorHAnsi" w:hAnsiTheme="minorHAnsi"/>
                <w:color w:val="222222"/>
                <w:sz w:val="19"/>
                <w:szCs w:val="19"/>
              </w:rPr>
              <w:t>Commission of Inquiry into the Australian Secret Intelligence Service</w:t>
            </w:r>
          </w:p>
        </w:tc>
        <w:tc>
          <w:tcPr>
            <w:tcW w:w="1241" w:type="pct"/>
            <w:tcBorders>
              <w:top w:val="single" w:sz="4" w:space="0" w:color="auto"/>
              <w:left w:val="nil"/>
              <w:bottom w:val="single" w:sz="4" w:space="0" w:color="auto"/>
              <w:right w:val="single" w:sz="4" w:space="0" w:color="auto"/>
            </w:tcBorders>
            <w:shd w:val="clear" w:color="auto" w:fill="D9D9D9"/>
            <w:vAlign w:val="top"/>
          </w:tcPr>
          <w:p w14:paraId="4DF9431A" w14:textId="77777777" w:rsidR="00030303" w:rsidRPr="00D96D9D" w:rsidRDefault="00030303" w:rsidP="00030303">
            <w:pPr>
              <w:rPr>
                <w:rFonts w:asciiTheme="minorHAnsi" w:hAnsiTheme="minorHAnsi"/>
                <w:color w:val="222222"/>
                <w:sz w:val="19"/>
                <w:szCs w:val="19"/>
              </w:rPr>
            </w:pPr>
            <w:r w:rsidRPr="00D96D9D">
              <w:rPr>
                <w:rFonts w:asciiTheme="minorHAnsi" w:hAnsiTheme="minorHAnsi"/>
                <w:color w:val="222222"/>
                <w:sz w:val="19"/>
                <w:szCs w:val="19"/>
              </w:rPr>
              <w:t>15 March ctobe1994–9 May 1995</w:t>
            </w:r>
          </w:p>
        </w:tc>
      </w:tr>
      <w:tr w:rsidR="00030303" w:rsidRPr="00DB2B77" w14:paraId="3A0E701D" w14:textId="77777777" w:rsidTr="00030303">
        <w:tc>
          <w:tcPr>
            <w:tcW w:w="3759" w:type="pct"/>
            <w:tcBorders>
              <w:top w:val="single" w:sz="4" w:space="0" w:color="auto"/>
              <w:left w:val="single" w:sz="4" w:space="0" w:color="auto"/>
              <w:bottom w:val="single" w:sz="4" w:space="0" w:color="auto"/>
              <w:right w:val="nil"/>
            </w:tcBorders>
            <w:vAlign w:val="top"/>
          </w:tcPr>
          <w:p w14:paraId="2B34C35A" w14:textId="77777777" w:rsidR="00030303" w:rsidRPr="00D96D9D" w:rsidRDefault="007679B9" w:rsidP="00030303">
            <w:pPr>
              <w:spacing w:after="0" w:line="240" w:lineRule="auto"/>
              <w:rPr>
                <w:rFonts w:asciiTheme="minorHAnsi" w:eastAsia="Times New Roman" w:hAnsiTheme="minorHAnsi" w:cs="Times New Roman"/>
                <w:color w:val="222222"/>
                <w:w w:val="100"/>
                <w:kern w:val="0"/>
                <w:sz w:val="19"/>
                <w:szCs w:val="19"/>
              </w:rPr>
            </w:pPr>
            <w:hyperlink r:id="rId8" w:history="1">
              <w:r w:rsidR="00030303" w:rsidRPr="00D96D9D">
                <w:rPr>
                  <w:rFonts w:asciiTheme="minorHAnsi" w:hAnsiTheme="minorHAnsi"/>
                  <w:color w:val="222222"/>
                  <w:sz w:val="19"/>
                  <w:szCs w:val="19"/>
                </w:rPr>
                <w:t>Royal Commission of Inquiry into the Leasing by the Commonwealth of Accommodation in Centenary House</w:t>
              </w:r>
            </w:hyperlink>
          </w:p>
        </w:tc>
        <w:tc>
          <w:tcPr>
            <w:tcW w:w="1241" w:type="pct"/>
            <w:tcBorders>
              <w:top w:val="single" w:sz="4" w:space="0" w:color="auto"/>
              <w:left w:val="nil"/>
              <w:bottom w:val="single" w:sz="4" w:space="0" w:color="auto"/>
              <w:right w:val="single" w:sz="4" w:space="0" w:color="auto"/>
            </w:tcBorders>
            <w:shd w:val="clear" w:color="auto" w:fill="D9D9D9"/>
            <w:vAlign w:val="top"/>
          </w:tcPr>
          <w:p w14:paraId="22372EE3" w14:textId="77777777" w:rsidR="00030303" w:rsidRPr="00D96D9D" w:rsidRDefault="00030303" w:rsidP="00030303">
            <w:pPr>
              <w:rPr>
                <w:rFonts w:asciiTheme="minorHAnsi" w:hAnsiTheme="minorHAnsi"/>
                <w:color w:val="222222"/>
                <w:sz w:val="19"/>
                <w:szCs w:val="19"/>
              </w:rPr>
            </w:pPr>
            <w:r w:rsidRPr="00D96D9D">
              <w:rPr>
                <w:rFonts w:asciiTheme="minorHAnsi" w:hAnsiTheme="minorHAnsi"/>
                <w:color w:val="222222"/>
                <w:sz w:val="19"/>
                <w:szCs w:val="19"/>
              </w:rPr>
              <w:t>16 May 1994–7 November 1994</w:t>
            </w:r>
          </w:p>
        </w:tc>
      </w:tr>
      <w:tr w:rsidR="00030303" w:rsidRPr="00DB2B77" w14:paraId="07A1BF31" w14:textId="77777777" w:rsidTr="00030303">
        <w:tc>
          <w:tcPr>
            <w:tcW w:w="3759" w:type="pct"/>
            <w:tcBorders>
              <w:top w:val="single" w:sz="4" w:space="0" w:color="auto"/>
              <w:left w:val="single" w:sz="4" w:space="0" w:color="auto"/>
              <w:bottom w:val="single" w:sz="4" w:space="0" w:color="auto"/>
              <w:right w:val="nil"/>
            </w:tcBorders>
            <w:vAlign w:val="top"/>
          </w:tcPr>
          <w:p w14:paraId="56EFE479" w14:textId="77777777" w:rsidR="00030303" w:rsidRPr="00D96D9D" w:rsidRDefault="00030303" w:rsidP="00030303">
            <w:pPr>
              <w:spacing w:after="0" w:line="240" w:lineRule="auto"/>
              <w:rPr>
                <w:rFonts w:asciiTheme="minorHAnsi" w:eastAsia="Times New Roman" w:hAnsiTheme="minorHAnsi" w:cs="Times New Roman"/>
                <w:color w:val="222222"/>
                <w:w w:val="100"/>
                <w:kern w:val="0"/>
                <w:sz w:val="19"/>
                <w:szCs w:val="19"/>
              </w:rPr>
            </w:pPr>
            <w:r w:rsidRPr="00D96D9D">
              <w:rPr>
                <w:rFonts w:asciiTheme="minorHAnsi" w:hAnsiTheme="minorHAnsi"/>
                <w:color w:val="222222"/>
                <w:sz w:val="19"/>
                <w:szCs w:val="19"/>
              </w:rPr>
              <w:t>Commission of Inquiry into the Relations Between the CAA and Seaview Air</w:t>
            </w:r>
          </w:p>
        </w:tc>
        <w:tc>
          <w:tcPr>
            <w:tcW w:w="1241" w:type="pct"/>
            <w:tcBorders>
              <w:top w:val="single" w:sz="4" w:space="0" w:color="auto"/>
              <w:left w:val="nil"/>
              <w:bottom w:val="single" w:sz="4" w:space="0" w:color="auto"/>
              <w:right w:val="single" w:sz="4" w:space="0" w:color="auto"/>
            </w:tcBorders>
            <w:shd w:val="clear" w:color="auto" w:fill="D9D9D9"/>
            <w:vAlign w:val="top"/>
          </w:tcPr>
          <w:p w14:paraId="4C1CCAED" w14:textId="77777777" w:rsidR="00030303" w:rsidRPr="00D96D9D" w:rsidRDefault="00030303" w:rsidP="00030303">
            <w:pPr>
              <w:rPr>
                <w:rFonts w:asciiTheme="minorHAnsi" w:hAnsiTheme="minorHAnsi"/>
                <w:color w:val="222222"/>
                <w:sz w:val="19"/>
                <w:szCs w:val="19"/>
              </w:rPr>
            </w:pPr>
            <w:r w:rsidRPr="00D96D9D">
              <w:rPr>
                <w:rFonts w:asciiTheme="minorHAnsi" w:hAnsiTheme="minorHAnsi"/>
                <w:color w:val="222222"/>
                <w:sz w:val="19"/>
                <w:szCs w:val="19"/>
              </w:rPr>
              <w:t>25 Or 1994–9 October 1996</w:t>
            </w:r>
          </w:p>
        </w:tc>
      </w:tr>
      <w:tr w:rsidR="00030303" w:rsidRPr="00DB2B77" w14:paraId="2C1E5943" w14:textId="77777777" w:rsidTr="00030303">
        <w:tc>
          <w:tcPr>
            <w:tcW w:w="3759" w:type="pct"/>
            <w:tcBorders>
              <w:top w:val="single" w:sz="4" w:space="0" w:color="auto"/>
              <w:left w:val="single" w:sz="4" w:space="0" w:color="auto"/>
              <w:bottom w:val="single" w:sz="4" w:space="0" w:color="auto"/>
              <w:right w:val="nil"/>
            </w:tcBorders>
            <w:vAlign w:val="top"/>
          </w:tcPr>
          <w:p w14:paraId="63306D27" w14:textId="77777777" w:rsidR="00030303" w:rsidRPr="00D96D9D" w:rsidRDefault="00030303" w:rsidP="00030303">
            <w:pPr>
              <w:spacing w:after="0" w:line="240" w:lineRule="auto"/>
              <w:rPr>
                <w:rFonts w:asciiTheme="minorHAnsi" w:hAnsiTheme="minorHAnsi"/>
                <w:color w:val="222222"/>
                <w:sz w:val="19"/>
                <w:szCs w:val="19"/>
              </w:rPr>
            </w:pPr>
            <w:r w:rsidRPr="00D96D9D">
              <w:rPr>
                <w:rFonts w:asciiTheme="minorHAnsi" w:hAnsiTheme="minorHAnsi"/>
                <w:color w:val="222222"/>
                <w:sz w:val="19"/>
                <w:szCs w:val="19"/>
              </w:rPr>
              <w:t>Royal Commission</w:t>
            </w:r>
            <w:r>
              <w:rPr>
                <w:rFonts w:asciiTheme="minorHAnsi" w:hAnsiTheme="minorHAnsi"/>
                <w:color w:val="222222"/>
                <w:sz w:val="19"/>
                <w:szCs w:val="19"/>
              </w:rPr>
              <w:t xml:space="preserve"> into HIH Insurance</w:t>
            </w:r>
          </w:p>
        </w:tc>
        <w:tc>
          <w:tcPr>
            <w:tcW w:w="1241" w:type="pct"/>
            <w:tcBorders>
              <w:top w:val="single" w:sz="4" w:space="0" w:color="auto"/>
              <w:left w:val="nil"/>
              <w:bottom w:val="single" w:sz="4" w:space="0" w:color="auto"/>
              <w:right w:val="single" w:sz="4" w:space="0" w:color="auto"/>
            </w:tcBorders>
            <w:shd w:val="clear" w:color="auto" w:fill="D9D9D9"/>
            <w:vAlign w:val="top"/>
          </w:tcPr>
          <w:p w14:paraId="53D84D67" w14:textId="77777777" w:rsidR="00030303" w:rsidRPr="00D96D9D" w:rsidRDefault="00030303" w:rsidP="00030303">
            <w:pPr>
              <w:rPr>
                <w:rFonts w:asciiTheme="minorHAnsi" w:hAnsiTheme="minorHAnsi"/>
                <w:color w:val="222222"/>
                <w:sz w:val="19"/>
                <w:szCs w:val="19"/>
              </w:rPr>
            </w:pPr>
            <w:r w:rsidRPr="00D96D9D">
              <w:rPr>
                <w:rFonts w:asciiTheme="minorHAnsi" w:hAnsiTheme="minorHAnsi"/>
                <w:color w:val="222222"/>
                <w:sz w:val="19"/>
                <w:szCs w:val="19"/>
              </w:rPr>
              <w:t>29 August 2001–4 April 2003</w:t>
            </w:r>
          </w:p>
        </w:tc>
      </w:tr>
      <w:tr w:rsidR="00030303" w:rsidRPr="00DB2B77" w14:paraId="7F724523" w14:textId="77777777" w:rsidTr="00030303">
        <w:tc>
          <w:tcPr>
            <w:tcW w:w="3759" w:type="pct"/>
            <w:tcBorders>
              <w:top w:val="single" w:sz="4" w:space="0" w:color="auto"/>
              <w:left w:val="single" w:sz="4" w:space="0" w:color="auto"/>
              <w:bottom w:val="single" w:sz="4" w:space="0" w:color="auto"/>
              <w:right w:val="nil"/>
            </w:tcBorders>
            <w:vAlign w:val="top"/>
          </w:tcPr>
          <w:p w14:paraId="235327F3" w14:textId="77777777" w:rsidR="00030303" w:rsidRPr="00D96D9D" w:rsidRDefault="00030303" w:rsidP="00030303">
            <w:pPr>
              <w:spacing w:after="0" w:line="240" w:lineRule="auto"/>
              <w:rPr>
                <w:rFonts w:asciiTheme="minorHAnsi" w:hAnsiTheme="minorHAnsi"/>
                <w:color w:val="222222"/>
                <w:sz w:val="19"/>
                <w:szCs w:val="19"/>
              </w:rPr>
            </w:pPr>
            <w:r w:rsidRPr="00D96D9D">
              <w:rPr>
                <w:rFonts w:asciiTheme="minorHAnsi" w:hAnsiTheme="minorHAnsi"/>
                <w:color w:val="222222"/>
                <w:sz w:val="19"/>
                <w:szCs w:val="19"/>
              </w:rPr>
              <w:t>Royal Commission into the Building and Construction Industry</w:t>
            </w:r>
          </w:p>
        </w:tc>
        <w:tc>
          <w:tcPr>
            <w:tcW w:w="1241" w:type="pct"/>
            <w:tcBorders>
              <w:top w:val="single" w:sz="4" w:space="0" w:color="auto"/>
              <w:left w:val="nil"/>
              <w:bottom w:val="single" w:sz="4" w:space="0" w:color="auto"/>
              <w:right w:val="single" w:sz="4" w:space="0" w:color="auto"/>
            </w:tcBorders>
            <w:shd w:val="clear" w:color="auto" w:fill="D9D9D9"/>
            <w:vAlign w:val="top"/>
          </w:tcPr>
          <w:p w14:paraId="48304921" w14:textId="77777777" w:rsidR="00030303" w:rsidRPr="00D96D9D" w:rsidRDefault="00030303" w:rsidP="00030303">
            <w:pPr>
              <w:rPr>
                <w:rFonts w:asciiTheme="minorHAnsi" w:hAnsiTheme="minorHAnsi"/>
                <w:color w:val="222222"/>
                <w:sz w:val="19"/>
                <w:szCs w:val="19"/>
              </w:rPr>
            </w:pPr>
            <w:r w:rsidRPr="00D96D9D">
              <w:rPr>
                <w:rFonts w:asciiTheme="minorHAnsi" w:hAnsiTheme="minorHAnsi"/>
                <w:color w:val="222222"/>
                <w:sz w:val="19"/>
                <w:szCs w:val="19"/>
              </w:rPr>
              <w:t>29 August 2001 – 24 February 2003</w:t>
            </w:r>
          </w:p>
        </w:tc>
      </w:tr>
      <w:tr w:rsidR="00030303" w:rsidRPr="00DB2B77" w14:paraId="2ECF4FDA" w14:textId="77777777" w:rsidTr="00030303">
        <w:tc>
          <w:tcPr>
            <w:tcW w:w="3759" w:type="pct"/>
            <w:tcBorders>
              <w:top w:val="single" w:sz="4" w:space="0" w:color="auto"/>
              <w:left w:val="single" w:sz="4" w:space="0" w:color="auto"/>
              <w:bottom w:val="single" w:sz="4" w:space="0" w:color="auto"/>
              <w:right w:val="nil"/>
            </w:tcBorders>
            <w:vAlign w:val="top"/>
          </w:tcPr>
          <w:p w14:paraId="5DD33ADC" w14:textId="77777777" w:rsidR="00030303" w:rsidRPr="00D96D9D" w:rsidRDefault="00030303" w:rsidP="00030303">
            <w:pPr>
              <w:spacing w:after="0" w:line="240" w:lineRule="auto"/>
              <w:rPr>
                <w:rFonts w:asciiTheme="minorHAnsi" w:hAnsiTheme="minorHAnsi"/>
                <w:color w:val="222222"/>
                <w:sz w:val="19"/>
                <w:szCs w:val="19"/>
              </w:rPr>
            </w:pPr>
            <w:r w:rsidRPr="00D96D9D">
              <w:rPr>
                <w:rFonts w:asciiTheme="minorHAnsi" w:hAnsiTheme="minorHAnsi"/>
                <w:color w:val="222222"/>
                <w:sz w:val="19"/>
                <w:szCs w:val="19"/>
              </w:rPr>
              <w:t>Royal Commission to Inquire into the Centenary House Lease</w:t>
            </w:r>
          </w:p>
        </w:tc>
        <w:tc>
          <w:tcPr>
            <w:tcW w:w="1241" w:type="pct"/>
            <w:tcBorders>
              <w:top w:val="single" w:sz="4" w:space="0" w:color="auto"/>
              <w:left w:val="nil"/>
              <w:bottom w:val="single" w:sz="4" w:space="0" w:color="auto"/>
              <w:right w:val="single" w:sz="4" w:space="0" w:color="auto"/>
            </w:tcBorders>
            <w:shd w:val="clear" w:color="auto" w:fill="D9D9D9"/>
            <w:vAlign w:val="top"/>
          </w:tcPr>
          <w:p w14:paraId="0B860089" w14:textId="77777777" w:rsidR="00030303" w:rsidRPr="00D96D9D" w:rsidRDefault="00030303" w:rsidP="00030303">
            <w:pPr>
              <w:rPr>
                <w:rFonts w:asciiTheme="minorHAnsi" w:hAnsiTheme="minorHAnsi"/>
                <w:color w:val="222222"/>
                <w:sz w:val="19"/>
                <w:szCs w:val="19"/>
              </w:rPr>
            </w:pPr>
            <w:r w:rsidRPr="00D96D9D">
              <w:rPr>
                <w:rFonts w:asciiTheme="minorHAnsi" w:hAnsiTheme="minorHAnsi"/>
                <w:color w:val="222222"/>
                <w:sz w:val="19"/>
                <w:szCs w:val="19"/>
              </w:rPr>
              <w:t>24 June–6 December 2004</w:t>
            </w:r>
          </w:p>
        </w:tc>
      </w:tr>
      <w:tr w:rsidR="00030303" w:rsidRPr="00DB2B77" w14:paraId="7A69C397" w14:textId="77777777" w:rsidTr="00030303">
        <w:tc>
          <w:tcPr>
            <w:tcW w:w="3759" w:type="pct"/>
            <w:tcBorders>
              <w:top w:val="single" w:sz="4" w:space="0" w:color="auto"/>
              <w:left w:val="single" w:sz="4" w:space="0" w:color="auto"/>
              <w:bottom w:val="single" w:sz="4" w:space="0" w:color="auto"/>
              <w:right w:val="nil"/>
            </w:tcBorders>
            <w:vAlign w:val="top"/>
          </w:tcPr>
          <w:p w14:paraId="62372DFE" w14:textId="77777777" w:rsidR="00030303" w:rsidRPr="00D96D9D" w:rsidRDefault="007679B9" w:rsidP="00030303">
            <w:pPr>
              <w:spacing w:after="0" w:line="240" w:lineRule="auto"/>
              <w:rPr>
                <w:rFonts w:asciiTheme="minorHAnsi" w:hAnsiTheme="minorHAnsi"/>
                <w:color w:val="222222"/>
                <w:sz w:val="19"/>
                <w:szCs w:val="19"/>
              </w:rPr>
            </w:pPr>
            <w:hyperlink r:id="rId9" w:history="1">
              <w:r w:rsidR="00030303" w:rsidRPr="00D96D9D">
                <w:rPr>
                  <w:rFonts w:asciiTheme="minorHAnsi" w:hAnsiTheme="minorHAnsi"/>
                  <w:color w:val="222222"/>
                  <w:sz w:val="19"/>
                  <w:szCs w:val="19"/>
                </w:rPr>
                <w:t>Inquiry into certain Australian companies in relation to the UN Oil-For-Food Programme</w:t>
              </w:r>
            </w:hyperlink>
          </w:p>
        </w:tc>
        <w:tc>
          <w:tcPr>
            <w:tcW w:w="1241" w:type="pct"/>
            <w:tcBorders>
              <w:top w:val="single" w:sz="4" w:space="0" w:color="auto"/>
              <w:left w:val="nil"/>
              <w:bottom w:val="single" w:sz="4" w:space="0" w:color="auto"/>
              <w:right w:val="single" w:sz="4" w:space="0" w:color="auto"/>
            </w:tcBorders>
            <w:shd w:val="clear" w:color="auto" w:fill="D9D9D9"/>
            <w:vAlign w:val="top"/>
          </w:tcPr>
          <w:p w14:paraId="79EC5445" w14:textId="77777777" w:rsidR="00030303" w:rsidRPr="00D96D9D" w:rsidRDefault="00030303" w:rsidP="00030303">
            <w:pPr>
              <w:rPr>
                <w:rFonts w:asciiTheme="minorHAnsi" w:hAnsiTheme="minorHAnsi"/>
                <w:color w:val="222222"/>
                <w:sz w:val="19"/>
                <w:szCs w:val="19"/>
              </w:rPr>
            </w:pPr>
            <w:r w:rsidRPr="00D96D9D">
              <w:rPr>
                <w:rFonts w:asciiTheme="minorHAnsi" w:hAnsiTheme="minorHAnsi"/>
                <w:color w:val="222222"/>
                <w:sz w:val="19"/>
                <w:szCs w:val="19"/>
              </w:rPr>
              <w:t>10 November 2005–24 November 2006</w:t>
            </w:r>
          </w:p>
        </w:tc>
      </w:tr>
      <w:tr w:rsidR="00030303" w:rsidRPr="00DB2B77" w14:paraId="3F81B5A3" w14:textId="77777777" w:rsidTr="00030303">
        <w:tc>
          <w:tcPr>
            <w:tcW w:w="3759" w:type="pct"/>
            <w:tcBorders>
              <w:top w:val="single" w:sz="4" w:space="0" w:color="auto"/>
              <w:left w:val="single" w:sz="4" w:space="0" w:color="auto"/>
              <w:bottom w:val="single" w:sz="4" w:space="0" w:color="auto"/>
              <w:right w:val="nil"/>
            </w:tcBorders>
            <w:vAlign w:val="top"/>
          </w:tcPr>
          <w:p w14:paraId="468160AE" w14:textId="77777777" w:rsidR="00030303" w:rsidRPr="00D96D9D" w:rsidRDefault="007679B9" w:rsidP="00030303">
            <w:pPr>
              <w:spacing w:after="0" w:line="240" w:lineRule="auto"/>
              <w:rPr>
                <w:rFonts w:asciiTheme="minorHAnsi" w:hAnsiTheme="minorHAnsi"/>
                <w:color w:val="222222"/>
                <w:sz w:val="19"/>
                <w:szCs w:val="19"/>
              </w:rPr>
            </w:pPr>
            <w:hyperlink r:id="rId10" w:history="1">
              <w:r w:rsidR="00030303" w:rsidRPr="00D96D9D">
                <w:rPr>
                  <w:rFonts w:asciiTheme="minorHAnsi" w:hAnsiTheme="minorHAnsi"/>
                  <w:color w:val="222222"/>
                  <w:sz w:val="19"/>
                  <w:szCs w:val="19"/>
                </w:rPr>
                <w:t>Equine Influenza Inquiry</w:t>
              </w:r>
            </w:hyperlink>
          </w:p>
        </w:tc>
        <w:tc>
          <w:tcPr>
            <w:tcW w:w="1241" w:type="pct"/>
            <w:tcBorders>
              <w:top w:val="single" w:sz="4" w:space="0" w:color="auto"/>
              <w:left w:val="nil"/>
              <w:bottom w:val="single" w:sz="4" w:space="0" w:color="auto"/>
              <w:right w:val="single" w:sz="4" w:space="0" w:color="auto"/>
            </w:tcBorders>
            <w:shd w:val="clear" w:color="auto" w:fill="D9D9D9"/>
            <w:vAlign w:val="top"/>
          </w:tcPr>
          <w:p w14:paraId="6C66D18B" w14:textId="77777777" w:rsidR="00030303" w:rsidRPr="00D96D9D" w:rsidRDefault="00030303" w:rsidP="00030303">
            <w:pPr>
              <w:rPr>
                <w:rFonts w:asciiTheme="minorHAnsi" w:hAnsiTheme="minorHAnsi"/>
                <w:color w:val="222222"/>
                <w:sz w:val="19"/>
                <w:szCs w:val="19"/>
              </w:rPr>
            </w:pPr>
            <w:r w:rsidRPr="00D96D9D">
              <w:rPr>
                <w:rFonts w:asciiTheme="minorHAnsi" w:hAnsiTheme="minorHAnsi"/>
                <w:color w:val="222222"/>
                <w:sz w:val="19"/>
                <w:szCs w:val="19"/>
              </w:rPr>
              <w:t>25 September 2007–12 June 2008</w:t>
            </w:r>
          </w:p>
        </w:tc>
      </w:tr>
      <w:tr w:rsidR="00030303" w:rsidRPr="00DB2B77" w14:paraId="47213F62" w14:textId="77777777" w:rsidTr="00030303">
        <w:tc>
          <w:tcPr>
            <w:tcW w:w="3759" w:type="pct"/>
            <w:tcBorders>
              <w:top w:val="single" w:sz="4" w:space="0" w:color="auto"/>
              <w:left w:val="single" w:sz="4" w:space="0" w:color="auto"/>
              <w:bottom w:val="single" w:sz="4" w:space="0" w:color="auto"/>
              <w:right w:val="nil"/>
            </w:tcBorders>
            <w:vAlign w:val="top"/>
          </w:tcPr>
          <w:p w14:paraId="6E21F6AB" w14:textId="77777777" w:rsidR="00030303" w:rsidRPr="00D96D9D" w:rsidRDefault="007679B9" w:rsidP="00030303">
            <w:pPr>
              <w:spacing w:after="0" w:line="240" w:lineRule="auto"/>
              <w:rPr>
                <w:rFonts w:asciiTheme="minorHAnsi" w:hAnsiTheme="minorHAnsi"/>
                <w:color w:val="222222"/>
                <w:sz w:val="19"/>
                <w:szCs w:val="19"/>
              </w:rPr>
            </w:pPr>
            <w:hyperlink r:id="rId11" w:history="1">
              <w:r w:rsidR="00030303" w:rsidRPr="00D96D9D">
                <w:rPr>
                  <w:rFonts w:asciiTheme="minorHAnsi" w:hAnsiTheme="minorHAnsi"/>
                  <w:color w:val="222222"/>
                  <w:sz w:val="19"/>
                  <w:szCs w:val="19"/>
                </w:rPr>
                <w:t>Royal Commission into Institutional Responses to Child Sexual Abuse</w:t>
              </w:r>
            </w:hyperlink>
          </w:p>
        </w:tc>
        <w:tc>
          <w:tcPr>
            <w:tcW w:w="1241" w:type="pct"/>
            <w:tcBorders>
              <w:top w:val="single" w:sz="4" w:space="0" w:color="auto"/>
              <w:left w:val="nil"/>
              <w:bottom w:val="single" w:sz="4" w:space="0" w:color="auto"/>
              <w:right w:val="single" w:sz="4" w:space="0" w:color="auto"/>
            </w:tcBorders>
            <w:shd w:val="clear" w:color="auto" w:fill="D9D9D9"/>
            <w:vAlign w:val="top"/>
          </w:tcPr>
          <w:p w14:paraId="2800F0C3" w14:textId="77777777" w:rsidR="00030303" w:rsidRPr="00D96D9D" w:rsidRDefault="00030303" w:rsidP="00030303">
            <w:pPr>
              <w:rPr>
                <w:rFonts w:asciiTheme="minorHAnsi" w:hAnsiTheme="minorHAnsi"/>
                <w:color w:val="222222"/>
                <w:sz w:val="19"/>
                <w:szCs w:val="19"/>
              </w:rPr>
            </w:pPr>
            <w:r w:rsidRPr="00D96D9D">
              <w:rPr>
                <w:rFonts w:asciiTheme="minorHAnsi" w:hAnsiTheme="minorHAnsi"/>
                <w:color w:val="222222"/>
                <w:sz w:val="19"/>
                <w:szCs w:val="19"/>
              </w:rPr>
              <w:t>11 January 2013</w:t>
            </w:r>
            <w:r>
              <w:rPr>
                <w:rFonts w:asciiTheme="minorHAnsi" w:hAnsiTheme="minorHAnsi"/>
                <w:color w:val="222222"/>
                <w:sz w:val="19"/>
                <w:szCs w:val="19"/>
              </w:rPr>
              <w:t>-</w:t>
            </w:r>
            <w:r w:rsidRPr="00D96D9D">
              <w:rPr>
                <w:rFonts w:asciiTheme="minorHAnsi" w:hAnsiTheme="minorHAnsi"/>
                <w:color w:val="222222"/>
                <w:sz w:val="19"/>
                <w:szCs w:val="19"/>
              </w:rPr>
              <w:t>15 </w:t>
            </w:r>
            <w:proofErr w:type="gramStart"/>
            <w:r w:rsidRPr="00D96D9D">
              <w:rPr>
                <w:rFonts w:asciiTheme="minorHAnsi" w:hAnsiTheme="minorHAnsi"/>
                <w:color w:val="222222"/>
                <w:sz w:val="19"/>
                <w:szCs w:val="19"/>
              </w:rPr>
              <w:t>December  2017</w:t>
            </w:r>
            <w:proofErr w:type="gramEnd"/>
          </w:p>
        </w:tc>
      </w:tr>
      <w:tr w:rsidR="00030303" w:rsidRPr="00DB2B77" w14:paraId="4237B014" w14:textId="77777777" w:rsidTr="00030303">
        <w:tc>
          <w:tcPr>
            <w:tcW w:w="3759" w:type="pct"/>
            <w:tcBorders>
              <w:top w:val="single" w:sz="4" w:space="0" w:color="auto"/>
              <w:left w:val="single" w:sz="4" w:space="0" w:color="auto"/>
              <w:bottom w:val="single" w:sz="4" w:space="0" w:color="auto"/>
              <w:right w:val="nil"/>
            </w:tcBorders>
            <w:vAlign w:val="top"/>
          </w:tcPr>
          <w:p w14:paraId="61896492" w14:textId="77777777" w:rsidR="00030303" w:rsidRPr="00D96D9D" w:rsidRDefault="007679B9" w:rsidP="00030303">
            <w:pPr>
              <w:spacing w:after="0" w:line="240" w:lineRule="auto"/>
              <w:rPr>
                <w:rFonts w:asciiTheme="minorHAnsi" w:hAnsiTheme="minorHAnsi"/>
                <w:color w:val="222222"/>
                <w:sz w:val="19"/>
                <w:szCs w:val="19"/>
              </w:rPr>
            </w:pPr>
            <w:hyperlink r:id="rId12" w:history="1">
              <w:r w:rsidR="00030303" w:rsidRPr="00D96D9D">
                <w:rPr>
                  <w:rFonts w:asciiTheme="minorHAnsi" w:hAnsiTheme="minorHAnsi"/>
                  <w:color w:val="222222"/>
                  <w:sz w:val="19"/>
                  <w:szCs w:val="19"/>
                </w:rPr>
                <w:t>Royal Commission into the Home Insulation Program</w:t>
              </w:r>
            </w:hyperlink>
            <w:r w:rsidR="00030303" w:rsidRPr="00D96D9D">
              <w:rPr>
                <w:rFonts w:asciiTheme="minorHAnsi" w:hAnsiTheme="minorHAnsi"/>
                <w:color w:val="222222"/>
                <w:sz w:val="19"/>
                <w:szCs w:val="19"/>
              </w:rPr>
              <w:t> </w:t>
            </w:r>
          </w:p>
        </w:tc>
        <w:tc>
          <w:tcPr>
            <w:tcW w:w="1241" w:type="pct"/>
            <w:tcBorders>
              <w:top w:val="single" w:sz="4" w:space="0" w:color="auto"/>
              <w:left w:val="nil"/>
              <w:bottom w:val="single" w:sz="4" w:space="0" w:color="auto"/>
              <w:right w:val="single" w:sz="4" w:space="0" w:color="auto"/>
            </w:tcBorders>
            <w:shd w:val="clear" w:color="auto" w:fill="D9D9D9"/>
            <w:vAlign w:val="top"/>
          </w:tcPr>
          <w:p w14:paraId="6EE42A4D" w14:textId="77777777" w:rsidR="00030303" w:rsidRPr="00D96D9D" w:rsidRDefault="00030303" w:rsidP="00030303">
            <w:pPr>
              <w:rPr>
                <w:rFonts w:asciiTheme="minorHAnsi" w:hAnsiTheme="minorHAnsi"/>
                <w:color w:val="222222"/>
                <w:sz w:val="19"/>
                <w:szCs w:val="19"/>
              </w:rPr>
            </w:pPr>
            <w:r w:rsidRPr="00D96D9D">
              <w:rPr>
                <w:rFonts w:asciiTheme="minorHAnsi" w:hAnsiTheme="minorHAnsi"/>
                <w:color w:val="222222"/>
                <w:sz w:val="19"/>
                <w:szCs w:val="19"/>
              </w:rPr>
              <w:t>12 December 2013</w:t>
            </w:r>
            <w:r>
              <w:rPr>
                <w:rFonts w:asciiTheme="minorHAnsi" w:hAnsiTheme="minorHAnsi"/>
                <w:color w:val="222222"/>
                <w:sz w:val="19"/>
                <w:szCs w:val="19"/>
              </w:rPr>
              <w:t>-</w:t>
            </w:r>
            <w:r w:rsidRPr="00D96D9D">
              <w:rPr>
                <w:rFonts w:asciiTheme="minorHAnsi" w:hAnsiTheme="minorHAnsi"/>
                <w:color w:val="222222"/>
                <w:sz w:val="19"/>
                <w:szCs w:val="19"/>
              </w:rPr>
              <w:t>29 August 2014</w:t>
            </w:r>
          </w:p>
        </w:tc>
      </w:tr>
      <w:tr w:rsidR="00030303" w:rsidRPr="00DB2B77" w14:paraId="4914E497" w14:textId="77777777" w:rsidTr="00030303">
        <w:tc>
          <w:tcPr>
            <w:tcW w:w="3759" w:type="pct"/>
            <w:tcBorders>
              <w:top w:val="single" w:sz="4" w:space="0" w:color="auto"/>
              <w:left w:val="single" w:sz="4" w:space="0" w:color="auto"/>
              <w:bottom w:val="single" w:sz="4" w:space="0" w:color="auto"/>
              <w:right w:val="nil"/>
            </w:tcBorders>
            <w:vAlign w:val="top"/>
          </w:tcPr>
          <w:p w14:paraId="6D6ABC84" w14:textId="77777777" w:rsidR="00030303" w:rsidRPr="00D96D9D" w:rsidRDefault="007679B9" w:rsidP="00030303">
            <w:pPr>
              <w:spacing w:after="0" w:line="240" w:lineRule="auto"/>
              <w:rPr>
                <w:rFonts w:asciiTheme="minorHAnsi" w:hAnsiTheme="minorHAnsi"/>
                <w:color w:val="222222"/>
                <w:sz w:val="19"/>
                <w:szCs w:val="19"/>
              </w:rPr>
            </w:pPr>
            <w:hyperlink r:id="rId13" w:history="1">
              <w:r w:rsidR="00030303" w:rsidRPr="00D96D9D">
                <w:rPr>
                  <w:rFonts w:asciiTheme="minorHAnsi" w:hAnsiTheme="minorHAnsi"/>
                  <w:color w:val="222222"/>
                  <w:sz w:val="19"/>
                  <w:szCs w:val="19"/>
                </w:rPr>
                <w:t>Royal Commission into Trade Union Governance and Corruption</w:t>
              </w:r>
            </w:hyperlink>
          </w:p>
        </w:tc>
        <w:tc>
          <w:tcPr>
            <w:tcW w:w="1241" w:type="pct"/>
            <w:tcBorders>
              <w:top w:val="single" w:sz="4" w:space="0" w:color="auto"/>
              <w:left w:val="nil"/>
              <w:bottom w:val="single" w:sz="4" w:space="0" w:color="auto"/>
              <w:right w:val="single" w:sz="4" w:space="0" w:color="auto"/>
            </w:tcBorders>
            <w:shd w:val="clear" w:color="auto" w:fill="D9D9D9"/>
            <w:vAlign w:val="top"/>
          </w:tcPr>
          <w:p w14:paraId="32CEF835" w14:textId="77777777" w:rsidR="00030303" w:rsidRPr="00D96D9D" w:rsidRDefault="00030303" w:rsidP="00030303">
            <w:pPr>
              <w:pStyle w:val="NormalWeb"/>
              <w:rPr>
                <w:rFonts w:asciiTheme="minorHAnsi" w:eastAsia="Calibri" w:hAnsiTheme="minorHAnsi" w:cs="Calibri"/>
                <w:color w:val="222222"/>
                <w:w w:val="105"/>
                <w:kern w:val="40"/>
                <w:sz w:val="19"/>
                <w:szCs w:val="19"/>
                <w:lang w:eastAsia="en-US"/>
              </w:rPr>
            </w:pPr>
            <w:r w:rsidRPr="00D96D9D">
              <w:rPr>
                <w:rFonts w:asciiTheme="minorHAnsi" w:eastAsia="Calibri" w:hAnsiTheme="minorHAnsi" w:cs="Calibri"/>
                <w:color w:val="222222"/>
                <w:w w:val="105"/>
                <w:kern w:val="40"/>
                <w:sz w:val="19"/>
                <w:szCs w:val="19"/>
                <w:lang w:eastAsia="en-US"/>
              </w:rPr>
              <w:t>13 March 2014</w:t>
            </w:r>
            <w:r>
              <w:rPr>
                <w:rFonts w:asciiTheme="minorHAnsi" w:eastAsia="Calibri" w:hAnsiTheme="minorHAnsi" w:cs="Calibri"/>
                <w:color w:val="222222"/>
                <w:w w:val="105"/>
                <w:kern w:val="40"/>
                <w:sz w:val="19"/>
                <w:szCs w:val="19"/>
                <w:lang w:eastAsia="en-US"/>
              </w:rPr>
              <w:t>-</w:t>
            </w:r>
            <w:r w:rsidRPr="00D96D9D">
              <w:rPr>
                <w:rFonts w:asciiTheme="minorHAnsi" w:eastAsia="Calibri" w:hAnsiTheme="minorHAnsi" w:cs="Calibri"/>
                <w:color w:val="222222"/>
                <w:w w:val="105"/>
                <w:kern w:val="40"/>
                <w:sz w:val="19"/>
                <w:szCs w:val="19"/>
                <w:lang w:eastAsia="en-US"/>
              </w:rPr>
              <w:t>28 December 2015</w:t>
            </w:r>
          </w:p>
        </w:tc>
      </w:tr>
      <w:tr w:rsidR="00030303" w:rsidRPr="00DB2B77" w14:paraId="23BEAF20" w14:textId="77777777" w:rsidTr="00030303">
        <w:tc>
          <w:tcPr>
            <w:tcW w:w="3759" w:type="pct"/>
            <w:tcBorders>
              <w:top w:val="single" w:sz="4" w:space="0" w:color="auto"/>
              <w:left w:val="single" w:sz="4" w:space="0" w:color="auto"/>
              <w:bottom w:val="single" w:sz="4" w:space="0" w:color="auto"/>
              <w:right w:val="nil"/>
            </w:tcBorders>
            <w:vAlign w:val="top"/>
          </w:tcPr>
          <w:p w14:paraId="41925ECE" w14:textId="77777777" w:rsidR="00030303" w:rsidRPr="00D96D9D" w:rsidRDefault="007679B9" w:rsidP="00030303">
            <w:pPr>
              <w:spacing w:after="0" w:line="240" w:lineRule="auto"/>
              <w:rPr>
                <w:rFonts w:asciiTheme="minorHAnsi" w:hAnsiTheme="minorHAnsi"/>
                <w:color w:val="222222"/>
                <w:sz w:val="19"/>
                <w:szCs w:val="19"/>
              </w:rPr>
            </w:pPr>
            <w:hyperlink r:id="rId14" w:history="1">
              <w:r w:rsidR="00030303" w:rsidRPr="00D96D9D">
                <w:rPr>
                  <w:rFonts w:asciiTheme="minorHAnsi" w:hAnsiTheme="minorHAnsi"/>
                  <w:color w:val="222222"/>
                  <w:sz w:val="19"/>
                  <w:szCs w:val="19"/>
                </w:rPr>
                <w:t>Royal Commission into the Protection and Detention of Children in the Northern Territory</w:t>
              </w:r>
            </w:hyperlink>
          </w:p>
        </w:tc>
        <w:tc>
          <w:tcPr>
            <w:tcW w:w="1241" w:type="pct"/>
            <w:tcBorders>
              <w:top w:val="single" w:sz="4" w:space="0" w:color="auto"/>
              <w:left w:val="nil"/>
              <w:bottom w:val="single" w:sz="4" w:space="0" w:color="auto"/>
              <w:right w:val="single" w:sz="4" w:space="0" w:color="auto"/>
            </w:tcBorders>
            <w:shd w:val="clear" w:color="auto" w:fill="D9D9D9"/>
            <w:vAlign w:val="top"/>
          </w:tcPr>
          <w:p w14:paraId="274BD888" w14:textId="77777777" w:rsidR="00030303" w:rsidRPr="00D96D9D" w:rsidRDefault="00030303" w:rsidP="00030303">
            <w:pPr>
              <w:rPr>
                <w:rFonts w:asciiTheme="minorHAnsi" w:hAnsiTheme="minorHAnsi"/>
                <w:color w:val="222222"/>
                <w:sz w:val="19"/>
                <w:szCs w:val="19"/>
              </w:rPr>
            </w:pPr>
            <w:r w:rsidRPr="00D96D9D">
              <w:rPr>
                <w:rFonts w:asciiTheme="minorHAnsi" w:hAnsiTheme="minorHAnsi"/>
                <w:color w:val="222222"/>
                <w:sz w:val="19"/>
                <w:szCs w:val="19"/>
              </w:rPr>
              <w:t>1 August 2016</w:t>
            </w:r>
            <w:r>
              <w:rPr>
                <w:rFonts w:asciiTheme="minorHAnsi" w:hAnsiTheme="minorHAnsi"/>
                <w:color w:val="222222"/>
                <w:sz w:val="19"/>
                <w:szCs w:val="19"/>
              </w:rPr>
              <w:t>-</w:t>
            </w:r>
            <w:r w:rsidRPr="00D96D9D">
              <w:rPr>
                <w:rFonts w:asciiTheme="minorHAnsi" w:hAnsiTheme="minorHAnsi"/>
                <w:color w:val="222222"/>
                <w:sz w:val="19"/>
                <w:szCs w:val="19"/>
              </w:rPr>
              <w:t>17 November 2017</w:t>
            </w:r>
          </w:p>
        </w:tc>
      </w:tr>
      <w:tr w:rsidR="00030303" w:rsidRPr="00DB2B77" w14:paraId="0077B8AF" w14:textId="77777777" w:rsidTr="00030303">
        <w:tc>
          <w:tcPr>
            <w:tcW w:w="3759" w:type="pct"/>
            <w:tcBorders>
              <w:top w:val="single" w:sz="4" w:space="0" w:color="auto"/>
              <w:left w:val="single" w:sz="4" w:space="0" w:color="auto"/>
              <w:bottom w:val="single" w:sz="4" w:space="0" w:color="auto"/>
              <w:right w:val="nil"/>
            </w:tcBorders>
            <w:vAlign w:val="top"/>
          </w:tcPr>
          <w:p w14:paraId="655130AB" w14:textId="77777777" w:rsidR="00030303" w:rsidRPr="00D96D9D" w:rsidRDefault="007679B9" w:rsidP="00030303">
            <w:pPr>
              <w:pStyle w:val="NormalWeb"/>
              <w:rPr>
                <w:rFonts w:asciiTheme="minorHAnsi" w:eastAsia="Calibri" w:hAnsiTheme="minorHAnsi" w:cs="Calibri"/>
                <w:color w:val="222222"/>
                <w:w w:val="105"/>
                <w:kern w:val="40"/>
                <w:sz w:val="19"/>
                <w:szCs w:val="19"/>
                <w:lang w:eastAsia="en-US"/>
              </w:rPr>
            </w:pPr>
            <w:hyperlink r:id="rId15" w:history="1">
              <w:r w:rsidR="00030303" w:rsidRPr="00D96D9D">
                <w:rPr>
                  <w:rFonts w:asciiTheme="minorHAnsi" w:eastAsia="Calibri" w:hAnsiTheme="minorHAnsi" w:cs="Calibri"/>
                  <w:color w:val="222222"/>
                  <w:w w:val="105"/>
                  <w:kern w:val="40"/>
                  <w:sz w:val="19"/>
                  <w:szCs w:val="19"/>
                  <w:lang w:eastAsia="en-US"/>
                </w:rPr>
                <w:t>Royal Commission into Misconduct in the Banking, Superannuation and Financial Services Industry</w:t>
              </w:r>
            </w:hyperlink>
            <w:r w:rsidR="00030303" w:rsidRPr="00D96D9D">
              <w:rPr>
                <w:rFonts w:asciiTheme="minorHAnsi" w:eastAsia="Calibri" w:hAnsiTheme="minorHAnsi" w:cs="Calibri"/>
                <w:color w:val="222222"/>
                <w:w w:val="105"/>
                <w:kern w:val="40"/>
                <w:sz w:val="19"/>
                <w:szCs w:val="19"/>
                <w:lang w:eastAsia="en-US"/>
              </w:rPr>
              <w:t> (Financial Services Royal Commission)</w:t>
            </w:r>
          </w:p>
        </w:tc>
        <w:tc>
          <w:tcPr>
            <w:tcW w:w="1241" w:type="pct"/>
            <w:tcBorders>
              <w:top w:val="single" w:sz="4" w:space="0" w:color="auto"/>
              <w:left w:val="nil"/>
              <w:bottom w:val="single" w:sz="4" w:space="0" w:color="auto"/>
              <w:right w:val="single" w:sz="4" w:space="0" w:color="auto"/>
            </w:tcBorders>
            <w:shd w:val="clear" w:color="auto" w:fill="D9D9D9"/>
            <w:vAlign w:val="top"/>
          </w:tcPr>
          <w:p w14:paraId="76C50C59" w14:textId="77777777" w:rsidR="00030303" w:rsidRPr="00D96D9D" w:rsidRDefault="00030303" w:rsidP="00030303">
            <w:pPr>
              <w:rPr>
                <w:rFonts w:asciiTheme="minorHAnsi" w:hAnsiTheme="minorHAnsi"/>
                <w:color w:val="222222"/>
                <w:sz w:val="19"/>
                <w:szCs w:val="19"/>
              </w:rPr>
            </w:pPr>
            <w:r w:rsidRPr="00D96D9D">
              <w:rPr>
                <w:rFonts w:asciiTheme="minorHAnsi" w:hAnsiTheme="minorHAnsi"/>
                <w:color w:val="222222"/>
                <w:sz w:val="19"/>
                <w:szCs w:val="19"/>
              </w:rPr>
              <w:t> 14 December 2017</w:t>
            </w:r>
            <w:r>
              <w:rPr>
                <w:rFonts w:asciiTheme="minorHAnsi" w:hAnsiTheme="minorHAnsi"/>
                <w:color w:val="222222"/>
                <w:sz w:val="19"/>
                <w:szCs w:val="19"/>
              </w:rPr>
              <w:t>-</w:t>
            </w:r>
            <w:r w:rsidRPr="00D96D9D">
              <w:rPr>
                <w:rFonts w:asciiTheme="minorHAnsi" w:hAnsiTheme="minorHAnsi"/>
                <w:color w:val="222222"/>
                <w:sz w:val="19"/>
                <w:szCs w:val="19"/>
              </w:rPr>
              <w:t>4 February 2019</w:t>
            </w:r>
          </w:p>
        </w:tc>
      </w:tr>
      <w:tr w:rsidR="00030303" w:rsidRPr="00DB2B77" w14:paraId="6BA1E64B" w14:textId="77777777" w:rsidTr="00030303">
        <w:tc>
          <w:tcPr>
            <w:tcW w:w="3759" w:type="pct"/>
            <w:tcBorders>
              <w:top w:val="single" w:sz="4" w:space="0" w:color="auto"/>
              <w:left w:val="single" w:sz="4" w:space="0" w:color="auto"/>
              <w:bottom w:val="single" w:sz="4" w:space="0" w:color="auto"/>
              <w:right w:val="nil"/>
            </w:tcBorders>
            <w:vAlign w:val="top"/>
          </w:tcPr>
          <w:p w14:paraId="0BF4B8EA" w14:textId="77777777" w:rsidR="00030303" w:rsidRPr="00D96D9D" w:rsidRDefault="007679B9" w:rsidP="00030303">
            <w:pPr>
              <w:spacing w:after="0" w:line="240" w:lineRule="auto"/>
              <w:rPr>
                <w:rFonts w:asciiTheme="minorHAnsi" w:hAnsiTheme="minorHAnsi"/>
                <w:color w:val="222222"/>
                <w:sz w:val="19"/>
                <w:szCs w:val="19"/>
              </w:rPr>
            </w:pPr>
            <w:hyperlink r:id="rId16" w:history="1">
              <w:r w:rsidR="00030303" w:rsidRPr="00D96D9D">
                <w:rPr>
                  <w:rFonts w:asciiTheme="minorHAnsi" w:hAnsiTheme="minorHAnsi"/>
                  <w:color w:val="222222"/>
                  <w:sz w:val="19"/>
                  <w:szCs w:val="19"/>
                </w:rPr>
                <w:t>Royal Commission into Aged Care Quality and Safety</w:t>
              </w:r>
            </w:hyperlink>
          </w:p>
        </w:tc>
        <w:tc>
          <w:tcPr>
            <w:tcW w:w="1241" w:type="pct"/>
            <w:tcBorders>
              <w:top w:val="single" w:sz="4" w:space="0" w:color="auto"/>
              <w:left w:val="nil"/>
              <w:bottom w:val="single" w:sz="4" w:space="0" w:color="auto"/>
              <w:right w:val="single" w:sz="4" w:space="0" w:color="auto"/>
            </w:tcBorders>
            <w:shd w:val="clear" w:color="auto" w:fill="D9D9D9"/>
            <w:vAlign w:val="top"/>
          </w:tcPr>
          <w:p w14:paraId="4666AA59" w14:textId="77777777" w:rsidR="00030303" w:rsidRPr="00D96D9D" w:rsidRDefault="00030303" w:rsidP="00030303">
            <w:pPr>
              <w:rPr>
                <w:rFonts w:asciiTheme="minorHAnsi" w:hAnsiTheme="minorHAnsi"/>
                <w:color w:val="222222"/>
                <w:sz w:val="19"/>
                <w:szCs w:val="19"/>
              </w:rPr>
            </w:pPr>
            <w:r w:rsidRPr="00D96D9D">
              <w:rPr>
                <w:rFonts w:asciiTheme="minorHAnsi" w:hAnsiTheme="minorHAnsi"/>
                <w:color w:val="222222"/>
                <w:sz w:val="19"/>
                <w:szCs w:val="19"/>
              </w:rPr>
              <w:t>8 October 2018</w:t>
            </w:r>
            <w:r>
              <w:rPr>
                <w:rFonts w:asciiTheme="minorHAnsi" w:hAnsiTheme="minorHAnsi"/>
                <w:color w:val="222222"/>
                <w:sz w:val="19"/>
                <w:szCs w:val="19"/>
              </w:rPr>
              <w:t>-</w:t>
            </w:r>
            <w:r w:rsidRPr="00D96D9D">
              <w:rPr>
                <w:rFonts w:asciiTheme="minorHAnsi" w:hAnsiTheme="minorHAnsi"/>
                <w:color w:val="222222"/>
                <w:sz w:val="19"/>
                <w:szCs w:val="19"/>
              </w:rPr>
              <w:t>26 February 2021</w:t>
            </w:r>
          </w:p>
        </w:tc>
      </w:tr>
      <w:tr w:rsidR="00030303" w:rsidRPr="00DB2B77" w14:paraId="0C36A303" w14:textId="77777777" w:rsidTr="00030303">
        <w:tc>
          <w:tcPr>
            <w:tcW w:w="3759" w:type="pct"/>
            <w:tcBorders>
              <w:top w:val="single" w:sz="4" w:space="0" w:color="auto"/>
              <w:left w:val="single" w:sz="4" w:space="0" w:color="auto"/>
              <w:bottom w:val="single" w:sz="4" w:space="0" w:color="auto"/>
              <w:right w:val="nil"/>
            </w:tcBorders>
            <w:vAlign w:val="top"/>
          </w:tcPr>
          <w:p w14:paraId="3D0CB831" w14:textId="77777777" w:rsidR="00030303" w:rsidRPr="00D96D9D" w:rsidRDefault="007679B9" w:rsidP="00030303">
            <w:pPr>
              <w:spacing w:after="0" w:line="240" w:lineRule="auto"/>
              <w:rPr>
                <w:rFonts w:asciiTheme="minorHAnsi" w:hAnsiTheme="minorHAnsi"/>
                <w:color w:val="222222"/>
                <w:sz w:val="19"/>
                <w:szCs w:val="19"/>
              </w:rPr>
            </w:pPr>
            <w:hyperlink r:id="rId17" w:history="1">
              <w:r w:rsidR="00030303" w:rsidRPr="00D96D9D">
                <w:rPr>
                  <w:rFonts w:asciiTheme="minorHAnsi" w:hAnsiTheme="minorHAnsi"/>
                  <w:color w:val="222222"/>
                  <w:sz w:val="19"/>
                  <w:szCs w:val="19"/>
                </w:rPr>
                <w:t>Royal Commission into Violence, Abuse, Neglect and Exploitation of People with Disability</w:t>
              </w:r>
            </w:hyperlink>
          </w:p>
        </w:tc>
        <w:tc>
          <w:tcPr>
            <w:tcW w:w="1241" w:type="pct"/>
            <w:tcBorders>
              <w:top w:val="single" w:sz="4" w:space="0" w:color="auto"/>
              <w:left w:val="nil"/>
              <w:bottom w:val="single" w:sz="4" w:space="0" w:color="auto"/>
              <w:right w:val="single" w:sz="4" w:space="0" w:color="auto"/>
            </w:tcBorders>
            <w:shd w:val="clear" w:color="auto" w:fill="D9D9D9"/>
            <w:vAlign w:val="top"/>
          </w:tcPr>
          <w:p w14:paraId="2C030DD6" w14:textId="77777777" w:rsidR="00030303" w:rsidRPr="00D96D9D" w:rsidRDefault="00030303" w:rsidP="00030303">
            <w:pPr>
              <w:rPr>
                <w:rFonts w:asciiTheme="minorHAnsi" w:hAnsiTheme="minorHAnsi"/>
                <w:color w:val="222222"/>
                <w:sz w:val="19"/>
                <w:szCs w:val="19"/>
              </w:rPr>
            </w:pPr>
            <w:r w:rsidRPr="00D96D9D">
              <w:rPr>
                <w:rFonts w:asciiTheme="minorHAnsi" w:hAnsiTheme="minorHAnsi"/>
                <w:color w:val="222222"/>
                <w:sz w:val="19"/>
                <w:szCs w:val="19"/>
              </w:rPr>
              <w:t>4 April 2019</w:t>
            </w:r>
            <w:r>
              <w:rPr>
                <w:rFonts w:asciiTheme="minorHAnsi" w:hAnsiTheme="minorHAnsi"/>
                <w:color w:val="222222"/>
                <w:sz w:val="19"/>
                <w:szCs w:val="19"/>
              </w:rPr>
              <w:t>-</w:t>
            </w:r>
            <w:r w:rsidRPr="00D96D9D">
              <w:rPr>
                <w:rFonts w:asciiTheme="minorHAnsi" w:hAnsiTheme="minorHAnsi"/>
                <w:color w:val="222222"/>
                <w:sz w:val="19"/>
                <w:szCs w:val="19"/>
              </w:rPr>
              <w:t>Final Report due no later than 29 September 2023</w:t>
            </w:r>
          </w:p>
        </w:tc>
      </w:tr>
      <w:tr w:rsidR="00030303" w:rsidRPr="00DB2B77" w14:paraId="215F4641" w14:textId="77777777" w:rsidTr="00030303">
        <w:tc>
          <w:tcPr>
            <w:tcW w:w="3759" w:type="pct"/>
            <w:tcBorders>
              <w:top w:val="single" w:sz="4" w:space="0" w:color="auto"/>
              <w:left w:val="single" w:sz="4" w:space="0" w:color="auto"/>
              <w:bottom w:val="single" w:sz="4" w:space="0" w:color="auto"/>
              <w:right w:val="nil"/>
            </w:tcBorders>
            <w:vAlign w:val="top"/>
          </w:tcPr>
          <w:p w14:paraId="27185C85" w14:textId="77777777" w:rsidR="00030303" w:rsidRPr="00D96D9D" w:rsidRDefault="007679B9" w:rsidP="00030303">
            <w:pPr>
              <w:spacing w:after="0" w:line="240" w:lineRule="auto"/>
              <w:rPr>
                <w:rFonts w:asciiTheme="minorHAnsi" w:hAnsiTheme="minorHAnsi"/>
                <w:color w:val="222222"/>
                <w:sz w:val="19"/>
                <w:szCs w:val="19"/>
              </w:rPr>
            </w:pPr>
            <w:hyperlink r:id="rId18" w:history="1">
              <w:r w:rsidR="00030303" w:rsidRPr="00D96D9D">
                <w:rPr>
                  <w:rFonts w:asciiTheme="minorHAnsi" w:hAnsiTheme="minorHAnsi"/>
                  <w:color w:val="222222"/>
                  <w:sz w:val="19"/>
                  <w:szCs w:val="19"/>
                </w:rPr>
                <w:t>Royal Commission into National Natural Disaster Arrangements </w:t>
              </w:r>
            </w:hyperlink>
          </w:p>
        </w:tc>
        <w:tc>
          <w:tcPr>
            <w:tcW w:w="1241" w:type="pct"/>
            <w:tcBorders>
              <w:top w:val="single" w:sz="4" w:space="0" w:color="auto"/>
              <w:left w:val="nil"/>
              <w:bottom w:val="single" w:sz="4" w:space="0" w:color="auto"/>
              <w:right w:val="single" w:sz="4" w:space="0" w:color="auto"/>
            </w:tcBorders>
            <w:shd w:val="clear" w:color="auto" w:fill="D9D9D9"/>
            <w:vAlign w:val="top"/>
          </w:tcPr>
          <w:p w14:paraId="6CA21728" w14:textId="77777777" w:rsidR="00030303" w:rsidRPr="00D96D9D" w:rsidRDefault="00030303" w:rsidP="00030303">
            <w:pPr>
              <w:rPr>
                <w:rFonts w:asciiTheme="minorHAnsi" w:hAnsiTheme="minorHAnsi"/>
                <w:color w:val="222222"/>
                <w:sz w:val="19"/>
                <w:szCs w:val="19"/>
              </w:rPr>
            </w:pPr>
            <w:r w:rsidRPr="00D96D9D">
              <w:rPr>
                <w:rFonts w:asciiTheme="minorHAnsi" w:hAnsiTheme="minorHAnsi"/>
                <w:color w:val="222222"/>
                <w:sz w:val="19"/>
                <w:szCs w:val="19"/>
              </w:rPr>
              <w:t>20 February 2020</w:t>
            </w:r>
            <w:r>
              <w:rPr>
                <w:rFonts w:asciiTheme="minorHAnsi" w:hAnsiTheme="minorHAnsi"/>
                <w:color w:val="222222"/>
                <w:sz w:val="19"/>
                <w:szCs w:val="19"/>
              </w:rPr>
              <w:t>-</w:t>
            </w:r>
            <w:r w:rsidRPr="00D96D9D">
              <w:rPr>
                <w:rFonts w:asciiTheme="minorHAnsi" w:hAnsiTheme="minorHAnsi"/>
                <w:color w:val="222222"/>
                <w:sz w:val="19"/>
                <w:szCs w:val="19"/>
              </w:rPr>
              <w:t>28 October 2020</w:t>
            </w:r>
          </w:p>
        </w:tc>
      </w:tr>
      <w:tr w:rsidR="00030303" w:rsidRPr="00DB2B77" w14:paraId="55DDD171" w14:textId="77777777" w:rsidTr="00030303">
        <w:tc>
          <w:tcPr>
            <w:tcW w:w="3759" w:type="pct"/>
            <w:tcBorders>
              <w:top w:val="single" w:sz="4" w:space="0" w:color="auto"/>
              <w:left w:val="single" w:sz="4" w:space="0" w:color="auto"/>
              <w:bottom w:val="single" w:sz="4" w:space="0" w:color="auto"/>
              <w:right w:val="nil"/>
            </w:tcBorders>
            <w:vAlign w:val="top"/>
          </w:tcPr>
          <w:p w14:paraId="5F16F4AB" w14:textId="77777777" w:rsidR="00030303" w:rsidRPr="00D96D9D" w:rsidRDefault="007679B9" w:rsidP="00030303">
            <w:pPr>
              <w:spacing w:after="0" w:line="240" w:lineRule="auto"/>
              <w:rPr>
                <w:rFonts w:asciiTheme="minorHAnsi" w:hAnsiTheme="minorHAnsi"/>
                <w:color w:val="222222"/>
                <w:sz w:val="19"/>
                <w:szCs w:val="19"/>
              </w:rPr>
            </w:pPr>
            <w:hyperlink r:id="rId19" w:history="1">
              <w:r w:rsidR="00030303" w:rsidRPr="00D96D9D">
                <w:rPr>
                  <w:rFonts w:asciiTheme="minorHAnsi" w:hAnsiTheme="minorHAnsi"/>
                  <w:color w:val="222222"/>
                  <w:sz w:val="19"/>
                  <w:szCs w:val="19"/>
                </w:rPr>
                <w:t>Royal Commission into Defence and Veteran Suicide</w:t>
              </w:r>
            </w:hyperlink>
          </w:p>
        </w:tc>
        <w:tc>
          <w:tcPr>
            <w:tcW w:w="1241" w:type="pct"/>
            <w:tcBorders>
              <w:top w:val="single" w:sz="4" w:space="0" w:color="auto"/>
              <w:left w:val="nil"/>
              <w:bottom w:val="single" w:sz="4" w:space="0" w:color="auto"/>
              <w:right w:val="single" w:sz="4" w:space="0" w:color="auto"/>
            </w:tcBorders>
            <w:shd w:val="clear" w:color="auto" w:fill="D9D9D9"/>
            <w:vAlign w:val="top"/>
          </w:tcPr>
          <w:p w14:paraId="0EB521C9" w14:textId="77777777" w:rsidR="00030303" w:rsidRPr="00D96D9D" w:rsidRDefault="00030303" w:rsidP="00030303">
            <w:pPr>
              <w:rPr>
                <w:rFonts w:asciiTheme="minorHAnsi" w:hAnsiTheme="minorHAnsi"/>
                <w:color w:val="222222"/>
                <w:sz w:val="19"/>
                <w:szCs w:val="19"/>
              </w:rPr>
            </w:pPr>
            <w:r w:rsidRPr="00D96D9D">
              <w:rPr>
                <w:rFonts w:asciiTheme="minorHAnsi" w:hAnsiTheme="minorHAnsi"/>
                <w:color w:val="222222"/>
                <w:sz w:val="19"/>
                <w:szCs w:val="19"/>
              </w:rPr>
              <w:t>8 July 2021</w:t>
            </w:r>
            <w:r>
              <w:rPr>
                <w:rFonts w:asciiTheme="minorHAnsi" w:hAnsiTheme="minorHAnsi"/>
                <w:color w:val="222222"/>
                <w:sz w:val="19"/>
                <w:szCs w:val="19"/>
              </w:rPr>
              <w:t>-</w:t>
            </w:r>
            <w:r w:rsidRPr="00D96D9D">
              <w:rPr>
                <w:rFonts w:asciiTheme="minorHAnsi" w:hAnsiTheme="minorHAnsi"/>
                <w:color w:val="222222"/>
                <w:sz w:val="19"/>
                <w:szCs w:val="19"/>
              </w:rPr>
              <w:t>Final report due not later than 15 June 2023</w:t>
            </w:r>
          </w:p>
        </w:tc>
      </w:tr>
    </w:tbl>
    <w:p w14:paraId="39B8C972" w14:textId="77777777" w:rsidR="00030303" w:rsidRDefault="00030303" w:rsidP="00030303"/>
    <w:p w14:paraId="36107082" w14:textId="37B072ED" w:rsidR="00030303" w:rsidRDefault="00030303">
      <w:pPr>
        <w:spacing w:after="160" w:line="259" w:lineRule="auto"/>
      </w:pPr>
      <w:r>
        <w:br w:type="page"/>
      </w:r>
    </w:p>
    <w:p w14:paraId="0806A1B7" w14:textId="77777777" w:rsidR="00030303" w:rsidRPr="00295609" w:rsidRDefault="00030303" w:rsidP="00030303">
      <w:pPr>
        <w:pStyle w:val="Heading1"/>
        <w:tabs>
          <w:tab w:val="clear" w:pos="850"/>
          <w:tab w:val="num" w:pos="0"/>
        </w:tabs>
        <w:ind w:left="0" w:firstLine="0"/>
        <w:rPr>
          <w:sz w:val="22"/>
          <w:szCs w:val="22"/>
        </w:rPr>
      </w:pPr>
      <w:r w:rsidRPr="0095643D">
        <w:rPr>
          <w:sz w:val="36"/>
          <w:szCs w:val="36"/>
          <w:lang w:eastAsia="en-AU"/>
        </w:rPr>
        <w:lastRenderedPageBreak/>
        <w:t xml:space="preserve">Appendix </w:t>
      </w:r>
      <w:r>
        <w:rPr>
          <w:sz w:val="36"/>
          <w:szCs w:val="36"/>
          <w:lang w:eastAsia="en-AU"/>
        </w:rPr>
        <w:t>F</w:t>
      </w:r>
      <w:r w:rsidRPr="0095643D">
        <w:rPr>
          <w:sz w:val="36"/>
          <w:szCs w:val="36"/>
          <w:lang w:eastAsia="en-AU"/>
        </w:rPr>
        <w:t>: Detailed analysis of disability-specific frameworks</w:t>
      </w:r>
    </w:p>
    <w:p w14:paraId="017694B8" w14:textId="77777777" w:rsidR="00030303" w:rsidRPr="00030303" w:rsidRDefault="00030303" w:rsidP="00030303">
      <w:pPr>
        <w:pStyle w:val="Heading2"/>
        <w:rPr>
          <w:b/>
          <w:color w:val="auto"/>
          <w:sz w:val="22"/>
          <w:szCs w:val="22"/>
        </w:rPr>
      </w:pPr>
      <w:r w:rsidRPr="00030303">
        <w:rPr>
          <w:b/>
          <w:color w:val="auto"/>
          <w:sz w:val="22"/>
          <w:szCs w:val="22"/>
        </w:rPr>
        <w:t>Commonwealth Disability Specific Frameworks</w:t>
      </w:r>
    </w:p>
    <w:p w14:paraId="3D3402E7" w14:textId="77777777" w:rsidR="00030303" w:rsidRPr="00ED2549" w:rsidRDefault="00030303" w:rsidP="00030303">
      <w:r>
        <w:t>The</w:t>
      </w:r>
      <w:r w:rsidRPr="00ED2549">
        <w:t xml:space="preserve"> </w:t>
      </w:r>
      <w:r w:rsidRPr="00ED2549">
        <w:rPr>
          <w:i/>
        </w:rPr>
        <w:t>National Disability Insurance Scheme Act 2013</w:t>
      </w:r>
      <w:r w:rsidRPr="00ED2549">
        <w:t xml:space="preserve"> (</w:t>
      </w:r>
      <w:proofErr w:type="spellStart"/>
      <w:r w:rsidRPr="00ED2549">
        <w:t>Cth</w:t>
      </w:r>
      <w:proofErr w:type="spellEnd"/>
      <w:r w:rsidRPr="00ED2549">
        <w:t>) (</w:t>
      </w:r>
      <w:r w:rsidRPr="00ED2549">
        <w:rPr>
          <w:b/>
        </w:rPr>
        <w:t>NDIS Act</w:t>
      </w:r>
      <w:r w:rsidRPr="00ED2549">
        <w:t>)</w:t>
      </w:r>
      <w:r>
        <w:t xml:space="preserve">, </w:t>
      </w:r>
      <w:r w:rsidRPr="00E0285F">
        <w:rPr>
          <w:i/>
        </w:rPr>
        <w:t xml:space="preserve">Disability Services Act 1986 </w:t>
      </w:r>
      <w:r w:rsidRPr="00ED2549">
        <w:t>(</w:t>
      </w:r>
      <w:proofErr w:type="spellStart"/>
      <w:r w:rsidRPr="00ED2549">
        <w:t>Cth</w:t>
      </w:r>
      <w:proofErr w:type="spellEnd"/>
      <w:r w:rsidRPr="00ED2549">
        <w:t>) (</w:t>
      </w:r>
      <w:r w:rsidRPr="00E0285F">
        <w:rPr>
          <w:b/>
        </w:rPr>
        <w:t>Commonwealth DS Act</w:t>
      </w:r>
      <w:r w:rsidRPr="00ED2549">
        <w:t>)</w:t>
      </w:r>
      <w:r>
        <w:t xml:space="preserve">, and </w:t>
      </w:r>
      <w:r w:rsidRPr="00ED2549">
        <w:t>State and Territory disability services legislation</w:t>
      </w:r>
      <w:r>
        <w:t xml:space="preserve"> all regulate the standard of care delivered by disability service providers across Australia. </w:t>
      </w:r>
    </w:p>
    <w:p w14:paraId="0F602A45" w14:textId="77777777" w:rsidR="00030303" w:rsidRPr="00ED2549" w:rsidRDefault="00030303" w:rsidP="00030303">
      <w:r>
        <w:rPr>
          <w:lang w:val="en-GB"/>
        </w:rPr>
        <w:t>These frameworks contain protective safeguards to regulate standards of care, complaints and investigation processes, and consequences for service providers where standards of care are not met. The</w:t>
      </w:r>
      <w:r w:rsidRPr="00ED2549">
        <w:rPr>
          <w:lang w:val="en-GB"/>
        </w:rPr>
        <w:t xml:space="preserve"> NDIS Act is now the primary </w:t>
      </w:r>
      <w:r w:rsidRPr="00ED2549">
        <w:t>disability services framework in Australia</w:t>
      </w:r>
      <w:r>
        <w:rPr>
          <w:lang w:val="en-GB"/>
        </w:rPr>
        <w:t>, however</w:t>
      </w:r>
      <w:r w:rsidRPr="00ED2549">
        <w:t xml:space="preserve"> Commonwealth and State and Territory legislation operates concurrently, so there may be numerous safeguards that apply to a particular factual circumstance.</w:t>
      </w:r>
      <w:r w:rsidRPr="00ED2549">
        <w:rPr>
          <w:vertAlign w:val="superscript"/>
        </w:rPr>
        <w:footnoteReference w:id="47"/>
      </w:r>
    </w:p>
    <w:p w14:paraId="7742498B" w14:textId="77777777" w:rsidR="00030303" w:rsidRPr="00ED2549" w:rsidRDefault="00030303" w:rsidP="00030303">
      <w:pPr>
        <w:pStyle w:val="Heading6"/>
        <w:numPr>
          <w:ilvl w:val="5"/>
          <w:numId w:val="0"/>
        </w:numPr>
        <w:tabs>
          <w:tab w:val="num" w:pos="1"/>
        </w:tabs>
        <w:ind w:firstLine="1"/>
      </w:pPr>
      <w:r w:rsidRPr="00ED2549">
        <w:t xml:space="preserve">Commonwealth protections for standards of care for people with disability </w:t>
      </w:r>
    </w:p>
    <w:p w14:paraId="450C4757" w14:textId="77777777" w:rsidR="00030303" w:rsidRPr="00ED2549" w:rsidRDefault="00030303" w:rsidP="00030303">
      <w:r w:rsidRPr="00ED2549">
        <w:t>The NDIS</w:t>
      </w:r>
      <w:r w:rsidRPr="00ED2549">
        <w:rPr>
          <w:i/>
        </w:rPr>
        <w:t xml:space="preserve"> </w:t>
      </w:r>
      <w:r w:rsidRPr="00ED2549">
        <w:t xml:space="preserve">is an Australia-wide scheme for the delivery of supports and services to eligible people with disability. The NDIS provides support to eligible people with intellectual, physical, sensory, cognitive and psychosocial disability by providing funding based on their individual needs. It provides a comprehensive framework that covers all aspects of funding provided under the NDIS Act, including regulation of </w:t>
      </w:r>
      <w:r w:rsidRPr="00ED2549">
        <w:rPr>
          <w:lang w:val="en-GB"/>
        </w:rPr>
        <w:t>persons or entities providing supports to participants in all jurisdictions (referred to as ‘NDIS providers’ or ‘registered NDIS providers’, depending on their status).</w:t>
      </w:r>
      <w:r>
        <w:rPr>
          <w:lang w:val="en-GB"/>
        </w:rPr>
        <w:t xml:space="preserve"> However, the NDIS Act does not apply to everyone. </w:t>
      </w:r>
      <w:r w:rsidRPr="00D97A04">
        <w:t>Significantly, for instance, only persons aged under 65 are eligible to become NDIS participants.</w:t>
      </w:r>
      <w:r w:rsidRPr="00D97A04">
        <w:rPr>
          <w:vertAlign w:val="superscript"/>
        </w:rPr>
        <w:footnoteReference w:id="48"/>
      </w:r>
    </w:p>
    <w:p w14:paraId="0319B98A" w14:textId="77777777" w:rsidR="00030303" w:rsidRPr="00ED2549" w:rsidRDefault="00030303" w:rsidP="00030303">
      <w:r w:rsidRPr="00ED2549">
        <w:t>The NDIS Act also establishes the NDIS Quality and Safeguards Commission (</w:t>
      </w:r>
      <w:r w:rsidRPr="00ED2549">
        <w:rPr>
          <w:b/>
        </w:rPr>
        <w:t>NDIS Commission</w:t>
      </w:r>
      <w:r w:rsidRPr="00ED2549">
        <w:t>), which is responsible for a range of functions under the National Quality and Safeguarding Framework aimed at protecting and preventing harm to people with disability in the NDIS market.</w:t>
      </w:r>
      <w:r w:rsidRPr="00ED2549">
        <w:rPr>
          <w:vertAlign w:val="superscript"/>
        </w:rPr>
        <w:footnoteReference w:id="49"/>
      </w:r>
      <w:r w:rsidRPr="00ED2549">
        <w:t xml:space="preserve"> </w:t>
      </w:r>
    </w:p>
    <w:p w14:paraId="0CEF89F3" w14:textId="77777777" w:rsidR="00030303" w:rsidRPr="00ED2549" w:rsidRDefault="00030303" w:rsidP="00030303">
      <w:r w:rsidRPr="00ED2549">
        <w:t xml:space="preserve">The NDIS is in addition to the Commonwealth DS Act which provides another avenue by which the Commonwealth may fund the provision of services for people with disability. </w:t>
      </w:r>
      <w:bookmarkStart w:id="16" w:name="_Ref50118398"/>
      <w:bookmarkStart w:id="17" w:name="_Ref51229976"/>
      <w:r w:rsidRPr="00ED2549">
        <w:t>In practice, many of the services outlined above are now funded under the NDIS rather than the Commonwealth DS Act. However, these funding powers remain available to the Commonwealth, and the Commonwealth DS Act still provides the statutory basis for several Commonwealth programs</w:t>
      </w:r>
      <w:bookmarkEnd w:id="16"/>
      <w:bookmarkEnd w:id="17"/>
      <w:r w:rsidRPr="00ED2549">
        <w:t>.</w:t>
      </w:r>
    </w:p>
    <w:p w14:paraId="5C8BE633" w14:textId="77777777" w:rsidR="00030303" w:rsidRPr="00ED2549" w:rsidRDefault="00030303" w:rsidP="00030303">
      <w:pPr>
        <w:pStyle w:val="Heading6"/>
        <w:numPr>
          <w:ilvl w:val="5"/>
          <w:numId w:val="0"/>
        </w:numPr>
        <w:tabs>
          <w:tab w:val="num" w:pos="1"/>
        </w:tabs>
        <w:ind w:firstLine="1"/>
      </w:pPr>
      <w:r w:rsidRPr="00ED2549">
        <w:lastRenderedPageBreak/>
        <w:t>The NDIS Code of Conduct establishes core values and principles</w:t>
      </w:r>
    </w:p>
    <w:p w14:paraId="7E0B28D4" w14:textId="77777777" w:rsidR="00030303" w:rsidRPr="00ED2549" w:rsidRDefault="00030303" w:rsidP="00030303">
      <w:r w:rsidRPr="00ED2549">
        <w:t xml:space="preserve">The </w:t>
      </w:r>
      <w:r w:rsidRPr="00ED2549">
        <w:rPr>
          <w:i/>
        </w:rPr>
        <w:t>National Disability Insurance Scheme (Code of Conduct) Rules 2018</w:t>
      </w:r>
      <w:r w:rsidRPr="00ED2549">
        <w:t xml:space="preserve"> set out the NDIS Code of Conduct, which applies to all NDIS providers and persons employed or otherwise engaged by them, regardless of whether they are registered. The NDIS Code of Conduct supports the rights of people with disability in the NDIS to have access to safe and ethical supports, and reflects the core values and principles set out in the National Standards for Disability Services, the National Mental Health Standards and the </w:t>
      </w:r>
      <w:r w:rsidRPr="00ED2549">
        <w:rPr>
          <w:i/>
        </w:rPr>
        <w:t>National Disability Insurance Scheme Act 2013</w:t>
      </w:r>
      <w:r w:rsidRPr="00ED2549">
        <w:t>.</w:t>
      </w:r>
    </w:p>
    <w:p w14:paraId="0D2A36AB" w14:textId="77777777" w:rsidR="00030303" w:rsidRPr="00ED2549" w:rsidRDefault="00030303" w:rsidP="00030303">
      <w:r w:rsidRPr="00ED2549">
        <w:t>Anyone can raise a complaint about potential breaches of the NDIS Code of Conduct.  When NDIS providers, or persons employed or otherwise engaged by NDIS providers, are found to have breached the NDIS Code of Conduct, the Commissioner is able to take a range of actions as appropriate, including education, compliance and enforcement action or prohibiting them from operating in the NDIS market.</w:t>
      </w:r>
    </w:p>
    <w:p w14:paraId="277FF618" w14:textId="77777777" w:rsidR="00030303" w:rsidRPr="00ED2549" w:rsidRDefault="00030303" w:rsidP="00030303">
      <w:r w:rsidRPr="00ED2549">
        <w:t>The NDIS Act also contains a civil penalty provision for failing to comply with a requirement under the NDIS Code of Conduct.</w:t>
      </w:r>
      <w:r w:rsidRPr="00ED2549">
        <w:rPr>
          <w:vertAlign w:val="superscript"/>
        </w:rPr>
        <w:footnoteReference w:id="50"/>
      </w:r>
    </w:p>
    <w:p w14:paraId="7310C47E" w14:textId="77777777" w:rsidR="00030303" w:rsidRPr="00ED2549" w:rsidRDefault="00030303" w:rsidP="00030303">
      <w:pPr>
        <w:pStyle w:val="Heading6"/>
        <w:numPr>
          <w:ilvl w:val="5"/>
          <w:numId w:val="0"/>
        </w:numPr>
        <w:tabs>
          <w:tab w:val="num" w:pos="1"/>
        </w:tabs>
        <w:ind w:firstLine="1"/>
      </w:pPr>
      <w:r w:rsidRPr="00ED2549">
        <w:t>The NDIS Practice Standards provides detailed operational requirements for NDIS providers</w:t>
      </w:r>
    </w:p>
    <w:p w14:paraId="654F0471" w14:textId="77777777" w:rsidR="00030303" w:rsidRPr="00ED2549" w:rsidRDefault="00030303" w:rsidP="00030303">
      <w:r w:rsidRPr="00ED2549">
        <w:t xml:space="preserve">The </w:t>
      </w:r>
      <w:r w:rsidRPr="00ED2549">
        <w:rPr>
          <w:i/>
        </w:rPr>
        <w:t>National Disability Insurance Scheme (Provider Registration and Practice Standards) Rules 2018</w:t>
      </w:r>
      <w:r w:rsidRPr="00ED2549">
        <w:t xml:space="preserve"> set out some of the conditions that providers must comply with to become and remain registered NDIS providers. They also set out the NDIS Practice Standards that apply to all registered NDIS providers, and those that apply to providers delivering more complex supports in areas such as behaviour support, early childhood supports, specialist support coordination and specialist disability accommodation. Together with the NDIS Code of Conduct, these rules enable people with disability participating in the NDIS to be aware of what quality service provision they should expect from registered NDIS providers.</w:t>
      </w:r>
    </w:p>
    <w:p w14:paraId="236A47D5" w14:textId="77777777" w:rsidR="00030303" w:rsidRPr="00ED2549" w:rsidRDefault="00030303" w:rsidP="00030303">
      <w:r w:rsidRPr="00ED2549">
        <w:t>Non</w:t>
      </w:r>
      <w:r w:rsidRPr="00ED2549">
        <w:rPr>
          <w:rFonts w:ascii="Cambria Math" w:hAnsi="Cambria Math" w:cs="Cambria Math"/>
        </w:rPr>
        <w:t>‑</w:t>
      </w:r>
      <w:r w:rsidRPr="00ED2549">
        <w:t>compliance with the NDIS Practice Standards by registered NDIS providers constitutes a breach of condition of registration, which can result in suspension or revocation of registration and/or civil penalties: see s 73F(2)(c), 73J and 73P).</w:t>
      </w:r>
    </w:p>
    <w:p w14:paraId="3F52759E" w14:textId="77777777" w:rsidR="00030303" w:rsidRPr="00ED2549" w:rsidRDefault="00030303" w:rsidP="00030303">
      <w:pPr>
        <w:pStyle w:val="Heading6"/>
        <w:numPr>
          <w:ilvl w:val="5"/>
          <w:numId w:val="0"/>
        </w:numPr>
        <w:tabs>
          <w:tab w:val="num" w:pos="1"/>
        </w:tabs>
        <w:ind w:firstLine="1"/>
      </w:pPr>
      <w:r w:rsidRPr="00ED2549">
        <w:t>Interaction between the Commonwealth DS Act and the NDIS Quality and Safeguards Commission</w:t>
      </w:r>
    </w:p>
    <w:p w14:paraId="597713ED" w14:textId="77777777" w:rsidR="00030303" w:rsidRPr="00ED2549" w:rsidRDefault="00030303" w:rsidP="00030303">
      <w:r w:rsidRPr="00ED2549">
        <w:t>The Disability Support for Older Australians (</w:t>
      </w:r>
      <w:r w:rsidRPr="00ED2549">
        <w:rPr>
          <w:b/>
        </w:rPr>
        <w:t>DSOA</w:t>
      </w:r>
      <w:r w:rsidRPr="00ED2549">
        <w:t>) program is the last disability support services program that is funded under the Commonwealth DS Act. It provides support services to people with disability who are not eligible for the NDIS, but were, at the time the NDIS commenced in their region:</w:t>
      </w:r>
    </w:p>
    <w:p w14:paraId="484449A8" w14:textId="77777777" w:rsidR="00030303" w:rsidRPr="00ED2549" w:rsidRDefault="00030303" w:rsidP="00030303">
      <w:pPr>
        <w:pStyle w:val="ListParagraph"/>
        <w:numPr>
          <w:ilvl w:val="0"/>
          <w:numId w:val="55"/>
        </w:numPr>
        <w:tabs>
          <w:tab w:val="num" w:pos="709"/>
        </w:tabs>
      </w:pPr>
      <w:r w:rsidRPr="00ED2549">
        <w:t xml:space="preserve">an Aboriginal or Torres Strait Islander person aged 50 to 64 years old, or any person aged 65 years or over; and  </w:t>
      </w:r>
    </w:p>
    <w:p w14:paraId="7ECA94B5" w14:textId="77777777" w:rsidR="00030303" w:rsidRPr="00ED2549" w:rsidRDefault="00030303" w:rsidP="00030303">
      <w:pPr>
        <w:pStyle w:val="ListParagraph"/>
        <w:numPr>
          <w:ilvl w:val="0"/>
          <w:numId w:val="55"/>
        </w:numPr>
        <w:tabs>
          <w:tab w:val="num" w:pos="709"/>
        </w:tabs>
      </w:pPr>
      <w:r w:rsidRPr="00ED2549">
        <w:lastRenderedPageBreak/>
        <w:t>receiving disability services administered by a State or Territory.</w:t>
      </w:r>
      <w:r w:rsidRPr="00ED2549">
        <w:rPr>
          <w:vertAlign w:val="superscript"/>
        </w:rPr>
        <w:footnoteReference w:id="51"/>
      </w:r>
    </w:p>
    <w:p w14:paraId="3CB7EC6C" w14:textId="77777777" w:rsidR="00030303" w:rsidRPr="00ED2549" w:rsidRDefault="00030303" w:rsidP="00030303">
      <w:r w:rsidRPr="00ED2549">
        <w:t>The DSOA program funds ‘service coordinators’ who oversee the delivery of disability support services. The program adopts the regulatory arrangements are established through the NDIS Act, as also imposes obligations on service coordinators through its funding agreements.</w:t>
      </w:r>
      <w:r w:rsidRPr="00ED2549">
        <w:rPr>
          <w:vertAlign w:val="superscript"/>
        </w:rPr>
        <w:footnoteReference w:id="52"/>
      </w:r>
      <w:r w:rsidRPr="00ED2549">
        <w:t xml:space="preserve"> All DSOA service coordinators including their subcontractors must be registered with the NDIS Commission under the NDIS Act.</w:t>
      </w:r>
      <w:r w:rsidRPr="00ED2549">
        <w:rPr>
          <w:vertAlign w:val="superscript"/>
        </w:rPr>
        <w:footnoteReference w:id="53"/>
      </w:r>
    </w:p>
    <w:p w14:paraId="76F5D10F" w14:textId="77777777" w:rsidR="00030303" w:rsidRPr="00ED2549" w:rsidRDefault="00030303" w:rsidP="00030303">
      <w:r w:rsidRPr="00ED2549">
        <w:t>Accordingly, service coordinators under the DSOA program are ‘NDIS providers’ for the purposes of the NDIS Act, even though they provide services outside of the NDIS.</w:t>
      </w:r>
      <w:r w:rsidRPr="00ED2549">
        <w:rPr>
          <w:vertAlign w:val="superscript"/>
        </w:rPr>
        <w:footnoteReference w:id="54"/>
      </w:r>
      <w:r w:rsidRPr="00ED2549">
        <w:t xml:space="preserve"> The effect of this is that these providers are subject to the jurisdiction of the NDIS Quality and Safeguards Commission. They must, among other things, be registered under s 73E of the Act if they are to provide certain classes of support,</w:t>
      </w:r>
      <w:r w:rsidRPr="00ED2549">
        <w:rPr>
          <w:vertAlign w:val="superscript"/>
        </w:rPr>
        <w:footnoteReference w:id="55"/>
      </w:r>
      <w:r w:rsidRPr="00ED2549">
        <w:t xml:space="preserve"> and comply with the NDIS Code of Conduct.</w:t>
      </w:r>
      <w:r w:rsidRPr="00ED2549">
        <w:rPr>
          <w:vertAlign w:val="superscript"/>
        </w:rPr>
        <w:footnoteReference w:id="56"/>
      </w:r>
      <w:r w:rsidRPr="00ED2549">
        <w:t xml:space="preserve"> Similar requirements are set out in the funding agreements between the Commonwealth and the service providers (</w:t>
      </w:r>
      <w:r w:rsidRPr="00ED2549">
        <w:rPr>
          <w:b/>
        </w:rPr>
        <w:t>DSOA Grant Agreements</w:t>
      </w:r>
      <w:r w:rsidRPr="00ED2549">
        <w:t>). Further, the standard terms and conditions in those agreements require DSOA providers to comply with worker screening laws.</w:t>
      </w:r>
      <w:r w:rsidRPr="00ED2549">
        <w:rPr>
          <w:vertAlign w:val="superscript"/>
        </w:rPr>
        <w:footnoteReference w:id="57"/>
      </w:r>
    </w:p>
    <w:p w14:paraId="4F6226E2" w14:textId="77777777" w:rsidR="00030303" w:rsidRPr="00ED2549" w:rsidRDefault="00030303" w:rsidP="00030303">
      <w:r w:rsidRPr="00ED2549">
        <w:t>Exemptions for the registration requirement can be provided, but exempt service coordinators are still subject to the NDIS Code of Conduct and any other requirements in their DSOA Grant Agreement.</w:t>
      </w:r>
      <w:r w:rsidRPr="00ED2549">
        <w:rPr>
          <w:vertAlign w:val="superscript"/>
        </w:rPr>
        <w:footnoteReference w:id="58"/>
      </w:r>
    </w:p>
    <w:p w14:paraId="037A7E74" w14:textId="77777777" w:rsidR="00030303" w:rsidRPr="00ED2549" w:rsidRDefault="00030303" w:rsidP="00030303">
      <w:r w:rsidRPr="00ED2549">
        <w:t>A summary of the NDIS Act and the Commonwealth DS Act frameworks, including their respective safeguards, is set out below.</w:t>
      </w:r>
    </w:p>
    <w:tbl>
      <w:tblPr>
        <w:tblStyle w:val="TableGrid"/>
        <w:tblW w:w="0" w:type="auto"/>
        <w:tblLook w:val="04A0" w:firstRow="1" w:lastRow="0" w:firstColumn="1" w:lastColumn="0" w:noHBand="0" w:noVBand="1"/>
      </w:tblPr>
      <w:tblGrid>
        <w:gridCol w:w="2194"/>
        <w:gridCol w:w="6016"/>
      </w:tblGrid>
      <w:tr w:rsidR="00030303" w:rsidRPr="00ED2549" w14:paraId="0809CD09" w14:textId="77777777" w:rsidTr="00030303">
        <w:trPr>
          <w:cantSplit/>
        </w:trPr>
        <w:tc>
          <w:tcPr>
            <w:tcW w:w="2194" w:type="dxa"/>
          </w:tcPr>
          <w:p w14:paraId="0D51CD29" w14:textId="77777777" w:rsidR="00030303" w:rsidRPr="00CD36CD" w:rsidRDefault="00030303" w:rsidP="00030303">
            <w:pPr>
              <w:rPr>
                <w:b/>
              </w:rPr>
            </w:pPr>
            <w:r w:rsidRPr="00CD36CD">
              <w:rPr>
                <w:b/>
              </w:rPr>
              <w:t>Framework</w:t>
            </w:r>
          </w:p>
        </w:tc>
        <w:tc>
          <w:tcPr>
            <w:tcW w:w="6016" w:type="dxa"/>
          </w:tcPr>
          <w:p w14:paraId="16384708" w14:textId="77777777" w:rsidR="00030303" w:rsidRPr="00ED2549" w:rsidRDefault="00030303" w:rsidP="00030303">
            <w:pPr>
              <w:rPr>
                <w:b/>
              </w:rPr>
            </w:pPr>
            <w:r w:rsidRPr="00ED2549">
              <w:rPr>
                <w:b/>
              </w:rPr>
              <w:t>Summary</w:t>
            </w:r>
          </w:p>
        </w:tc>
      </w:tr>
      <w:tr w:rsidR="00030303" w:rsidRPr="00ED2549" w14:paraId="4E144DAD" w14:textId="77777777" w:rsidTr="00030303">
        <w:tc>
          <w:tcPr>
            <w:tcW w:w="2194" w:type="dxa"/>
          </w:tcPr>
          <w:p w14:paraId="7B0B7E8D" w14:textId="77777777" w:rsidR="00030303" w:rsidRPr="00CD36CD" w:rsidRDefault="00030303" w:rsidP="00030303">
            <w:pPr>
              <w:rPr>
                <w:b/>
              </w:rPr>
            </w:pPr>
            <w:r w:rsidRPr="00CD36CD">
              <w:rPr>
                <w:b/>
              </w:rPr>
              <w:t>NDIS Act</w:t>
            </w:r>
          </w:p>
        </w:tc>
        <w:tc>
          <w:tcPr>
            <w:tcW w:w="6016" w:type="dxa"/>
          </w:tcPr>
          <w:p w14:paraId="0302CE7A" w14:textId="77777777" w:rsidR="00030303" w:rsidRPr="00ED2549" w:rsidRDefault="00030303" w:rsidP="00030303">
            <w:r w:rsidRPr="00ED2549">
              <w:t xml:space="preserve">Establishes an Australia-wide scheme for the delivery of supports and services to eligible people with disability. The </w:t>
            </w:r>
            <w:r w:rsidRPr="00ED2549">
              <w:lastRenderedPageBreak/>
              <w:t>NDIS provides the primary framework for regulating the standard of care for disability service providers.</w:t>
            </w:r>
          </w:p>
          <w:p w14:paraId="1DB7DD7D" w14:textId="77777777" w:rsidR="00030303" w:rsidRPr="00ED2549" w:rsidRDefault="00030303" w:rsidP="00030303">
            <w:r w:rsidRPr="00ED2549">
              <w:t>The NDIS provide numerous mechanisms for reporting and investigating complaints concerning standards of care which are underpinned by civil and financial penalties for NDIS service providers in the event that the allegations in a complaint are made out. These include:</w:t>
            </w:r>
          </w:p>
          <w:p w14:paraId="31B8BC9C" w14:textId="77777777" w:rsidR="00030303" w:rsidRPr="00ED2549" w:rsidRDefault="00030303" w:rsidP="00030303">
            <w:pPr>
              <w:tabs>
                <w:tab w:val="num" w:pos="709"/>
              </w:tabs>
            </w:pPr>
            <w:r w:rsidRPr="00ED2549">
              <w:t>a regulatory body, the NDIS Quality and Safeguards Commission, established to investigate complaints and potential non-compliance with the NDIS Act</w:t>
            </w:r>
            <w:r w:rsidRPr="00ED2549">
              <w:rPr>
                <w:vertAlign w:val="superscript"/>
              </w:rPr>
              <w:footnoteReference w:id="59"/>
            </w:r>
          </w:p>
          <w:p w14:paraId="17287FFF" w14:textId="77777777" w:rsidR="00030303" w:rsidRPr="00ED2549" w:rsidRDefault="00030303" w:rsidP="00030303">
            <w:pPr>
              <w:tabs>
                <w:tab w:val="num" w:pos="709"/>
              </w:tabs>
            </w:pPr>
            <w:r w:rsidRPr="00ED2549">
              <w:t>an enforceable code of conduct for all service providers underpinned by civil penalty provisions</w:t>
            </w:r>
            <w:r w:rsidRPr="00ED2549">
              <w:rPr>
                <w:vertAlign w:val="superscript"/>
              </w:rPr>
              <w:footnoteReference w:id="60"/>
            </w:r>
          </w:p>
          <w:p w14:paraId="07C30C84" w14:textId="77777777" w:rsidR="00030303" w:rsidRPr="00ED2549" w:rsidRDefault="00030303" w:rsidP="00030303">
            <w:pPr>
              <w:tabs>
                <w:tab w:val="num" w:pos="709"/>
              </w:tabs>
            </w:pPr>
            <w:r w:rsidRPr="00ED2549">
              <w:t>mandatory practice standards for registered service providers underpinned by civil penalty provisions</w:t>
            </w:r>
            <w:r w:rsidRPr="00ED2549">
              <w:rPr>
                <w:vertAlign w:val="superscript"/>
              </w:rPr>
              <w:footnoteReference w:id="61"/>
            </w:r>
          </w:p>
          <w:p w14:paraId="60C3E43D" w14:textId="77777777" w:rsidR="00030303" w:rsidRPr="00ED2549" w:rsidRDefault="00030303" w:rsidP="00030303">
            <w:pPr>
              <w:tabs>
                <w:tab w:val="num" w:pos="709"/>
              </w:tabs>
            </w:pPr>
            <w:r w:rsidRPr="00ED2549">
              <w:t>required internal reporting processes for services providers</w:t>
            </w:r>
            <w:r w:rsidRPr="00ED2549">
              <w:rPr>
                <w:vertAlign w:val="superscript"/>
              </w:rPr>
              <w:footnoteReference w:id="62"/>
            </w:r>
          </w:p>
          <w:p w14:paraId="5617F284" w14:textId="77777777" w:rsidR="00030303" w:rsidRPr="00ED2549" w:rsidRDefault="00030303" w:rsidP="00030303">
            <w:pPr>
              <w:tabs>
                <w:tab w:val="num" w:pos="709"/>
              </w:tabs>
            </w:pPr>
            <w:r w:rsidRPr="00ED2549">
              <w:t>incident management and reporting obligations for registered service providers</w:t>
            </w:r>
            <w:r w:rsidRPr="00ED2549">
              <w:rPr>
                <w:vertAlign w:val="superscript"/>
              </w:rPr>
              <w:footnoteReference w:id="63"/>
            </w:r>
          </w:p>
          <w:p w14:paraId="6FBFA38B" w14:textId="77777777" w:rsidR="00030303" w:rsidRPr="00ED2549" w:rsidRDefault="00030303" w:rsidP="00030303">
            <w:pPr>
              <w:tabs>
                <w:tab w:val="num" w:pos="709"/>
              </w:tabs>
            </w:pPr>
            <w:r w:rsidRPr="00ED2549">
              <w:t xml:space="preserve">the power to suspend or revoke registration of registered service providers, to undertake compliance action and </w:t>
            </w:r>
            <w:r w:rsidRPr="00ED2549">
              <w:lastRenderedPageBreak/>
              <w:t>banning orders against all service providers, and to place conditions on the types of services that a service provider can offer.</w:t>
            </w:r>
            <w:r w:rsidRPr="00ED2549">
              <w:rPr>
                <w:vertAlign w:val="superscript"/>
              </w:rPr>
              <w:footnoteReference w:id="64"/>
            </w:r>
          </w:p>
          <w:p w14:paraId="25F1F36C" w14:textId="77777777" w:rsidR="00030303" w:rsidRPr="00ED2549" w:rsidRDefault="00030303" w:rsidP="00030303">
            <w:pPr>
              <w:tabs>
                <w:tab w:val="num" w:pos="709"/>
              </w:tabs>
            </w:pPr>
            <w:r w:rsidRPr="00ED2549">
              <w:t>It is important to note that there is a distinction between ‘registered NDIS providers’ and ‘NDIS providers’ under the Act, and that the regulatory mechanisms that apply to these service providers differ significantly.</w:t>
            </w:r>
          </w:p>
        </w:tc>
      </w:tr>
      <w:tr w:rsidR="00030303" w:rsidRPr="00ED2549" w14:paraId="1366891F" w14:textId="77777777" w:rsidTr="00030303">
        <w:tc>
          <w:tcPr>
            <w:tcW w:w="2194" w:type="dxa"/>
          </w:tcPr>
          <w:p w14:paraId="7BF4BEB6" w14:textId="77777777" w:rsidR="00030303" w:rsidRPr="00CD36CD" w:rsidRDefault="00030303" w:rsidP="00030303">
            <w:pPr>
              <w:rPr>
                <w:b/>
              </w:rPr>
            </w:pPr>
            <w:r w:rsidRPr="00CD36CD">
              <w:rPr>
                <w:b/>
              </w:rPr>
              <w:lastRenderedPageBreak/>
              <w:t>Commonwealth DS Act</w:t>
            </w:r>
          </w:p>
        </w:tc>
        <w:tc>
          <w:tcPr>
            <w:tcW w:w="6016" w:type="dxa"/>
          </w:tcPr>
          <w:p w14:paraId="7745364A" w14:textId="77777777" w:rsidR="00030303" w:rsidRPr="00ED2549" w:rsidRDefault="00030303" w:rsidP="00030303">
            <w:r w:rsidRPr="00ED2549">
              <w:t>Provides another option for the Commonwealth to fund disability services that do not fall within the remit of the NDIS Act. Current programs include:</w:t>
            </w:r>
          </w:p>
          <w:p w14:paraId="35409D8F" w14:textId="77777777" w:rsidR="00030303" w:rsidRPr="00CD36CD" w:rsidRDefault="00030303" w:rsidP="00030303">
            <w:pPr>
              <w:numPr>
                <w:ilvl w:val="3"/>
                <w:numId w:val="18"/>
              </w:numPr>
              <w:rPr>
                <w:lang w:val="en-GB"/>
              </w:rPr>
            </w:pPr>
            <w:r w:rsidRPr="00ED2549">
              <w:t>the National Disability Advocacy Program</w:t>
            </w:r>
            <w:r w:rsidRPr="00ED2549">
              <w:rPr>
                <w:vertAlign w:val="superscript"/>
              </w:rPr>
              <w:footnoteReference w:id="65"/>
            </w:r>
          </w:p>
          <w:p w14:paraId="0AE9475A" w14:textId="77777777" w:rsidR="00030303" w:rsidRPr="00CD36CD" w:rsidRDefault="00030303" w:rsidP="00030303">
            <w:pPr>
              <w:numPr>
                <w:ilvl w:val="3"/>
                <w:numId w:val="18"/>
              </w:numPr>
              <w:rPr>
                <w:lang w:val="en-GB"/>
              </w:rPr>
            </w:pPr>
            <w:r w:rsidRPr="00ED2549">
              <w:t>the Disability Employment Services program,</w:t>
            </w:r>
            <w:r w:rsidRPr="00ED2549">
              <w:rPr>
                <w:vertAlign w:val="superscript"/>
              </w:rPr>
              <w:footnoteReference w:id="66"/>
            </w:r>
            <w:r w:rsidRPr="00ED2549">
              <w:t xml:space="preserve"> and </w:t>
            </w:r>
          </w:p>
          <w:p w14:paraId="3262F75A" w14:textId="77777777" w:rsidR="00030303" w:rsidRPr="00CD36CD" w:rsidRDefault="00030303" w:rsidP="00030303">
            <w:pPr>
              <w:numPr>
                <w:ilvl w:val="3"/>
                <w:numId w:val="18"/>
              </w:numPr>
              <w:rPr>
                <w:lang w:val="en-GB"/>
              </w:rPr>
            </w:pPr>
            <w:r w:rsidRPr="00ED2549">
              <w:t>the Commonwealth Disability Support for Older Australians program.</w:t>
            </w:r>
          </w:p>
          <w:p w14:paraId="19B7FF41" w14:textId="77777777" w:rsidR="00030303" w:rsidRPr="00ED2549" w:rsidRDefault="00030303" w:rsidP="00030303">
            <w:r w:rsidRPr="00ED2549">
              <w:t xml:space="preserve">DSOA uses ‘service coordinators’ to provide disability support services to clients, and are regulated under the NDIS Act as ‘registered NDIS </w:t>
            </w:r>
            <w:proofErr w:type="gramStart"/>
            <w:r w:rsidRPr="00ED2549">
              <w:t>providers’</w:t>
            </w:r>
            <w:proofErr w:type="gramEnd"/>
            <w:r w:rsidRPr="00ED2549">
              <w:t xml:space="preserve">. They are subject to all of the conditions of a registered NDIS provider, including </w:t>
            </w:r>
            <w:r w:rsidRPr="00ED2549">
              <w:rPr>
                <w:i/>
              </w:rPr>
              <w:t>inter alia</w:t>
            </w:r>
            <w:r w:rsidRPr="00ED2549">
              <w:t xml:space="preserve"> the NDIS Code of Conduct and the NDIS Practice Standards.</w:t>
            </w:r>
          </w:p>
          <w:p w14:paraId="42C825FF" w14:textId="77777777" w:rsidR="00030303" w:rsidRPr="00ED2549" w:rsidRDefault="00030303" w:rsidP="00030303">
            <w:r w:rsidRPr="00ED2549">
              <w:lastRenderedPageBreak/>
              <w:t xml:space="preserve">The Commonwealth DS Act includes the power to vary or terminate grants of funding and to place conditions on the types of services that a service provider can offer. </w:t>
            </w:r>
          </w:p>
        </w:tc>
      </w:tr>
    </w:tbl>
    <w:p w14:paraId="399B7E3D" w14:textId="77777777" w:rsidR="00EC2850" w:rsidRDefault="00EC2850" w:rsidP="00030303">
      <w:pPr>
        <w:pStyle w:val="Heading6"/>
        <w:numPr>
          <w:ilvl w:val="5"/>
          <w:numId w:val="0"/>
        </w:numPr>
        <w:tabs>
          <w:tab w:val="num" w:pos="1"/>
        </w:tabs>
        <w:ind w:firstLine="1"/>
      </w:pPr>
      <w:bookmarkStart w:id="18" w:name="_GoBack"/>
      <w:bookmarkEnd w:id="18"/>
    </w:p>
    <w:p w14:paraId="5FA729CD" w14:textId="3B1F44B4" w:rsidR="00030303" w:rsidRPr="00ED2549" w:rsidRDefault="00030303" w:rsidP="00030303">
      <w:pPr>
        <w:pStyle w:val="Heading6"/>
        <w:numPr>
          <w:ilvl w:val="5"/>
          <w:numId w:val="0"/>
        </w:numPr>
        <w:tabs>
          <w:tab w:val="num" w:pos="1"/>
        </w:tabs>
        <w:ind w:firstLine="1"/>
      </w:pPr>
      <w:r w:rsidRPr="00ED2549">
        <w:t xml:space="preserve">Receipt of a lesser standard of care following engagement with a royal commission or similar </w:t>
      </w:r>
    </w:p>
    <w:p w14:paraId="2AFB7883" w14:textId="77777777" w:rsidR="00030303" w:rsidRPr="00ED2549" w:rsidRDefault="00030303" w:rsidP="00030303">
      <w:r w:rsidRPr="00ED2549">
        <w:t xml:space="preserve">The frameworks that operate to provide standards of care set a benchmark for the provision of disability services that must be met. If the threshold standard of care is not provided, the abovementioned safeguards provide regulatory options to correct the situation. We are not aware that any of the frameworks regulating the standard of care require a person to demonstrate that the reduction in the standard of care was in response to a particular action by the person with disability or their representative. </w:t>
      </w:r>
    </w:p>
    <w:p w14:paraId="0C4B07AB" w14:textId="77777777" w:rsidR="00030303" w:rsidRPr="00ED2549" w:rsidRDefault="00030303" w:rsidP="00030303">
      <w:r w:rsidRPr="00ED2549">
        <w:t xml:space="preserve">In circumstances where a person with disability provided information voluntarily to a royal commission or commission of inquiry and subsequently suffered a lesser standard of care, it is not necessary under the various Commonwealth, State or Territory regulatory regimes to demonstrate that the lessened standard of care was a reprisal for the information the person disclosed to the commission. All that is relevant is the standard of care that the person received no longer met the required standard imposed by the legislation. </w:t>
      </w:r>
      <w:r>
        <w:t xml:space="preserve">That said, evidence of conduct in the nature of a reprisal may well be relevant to an assessment of a person’s integrity and honesty (among other things), which will have a bearing on that person’s appropriate provision of supports to people with disability. </w:t>
      </w:r>
    </w:p>
    <w:p w14:paraId="3571E8F0" w14:textId="77777777" w:rsidR="00030303" w:rsidRPr="00ED2549" w:rsidRDefault="00030303" w:rsidP="00030303">
      <w:r w:rsidRPr="00ED2549">
        <w:t>For example, retaliatory action by a disability service provider in response to engagement by a person with disability with a royal commission or commission of inquiry resulting in a lesser standard of care for the individual would likely constitute a breach of the NDIS Code of Conduct and, if the relevant service provider is a ‘registered NDIS provider’, the NDIS Practice Standards.</w:t>
      </w:r>
      <w:r w:rsidRPr="00ED2549">
        <w:rPr>
          <w:vertAlign w:val="superscript"/>
        </w:rPr>
        <w:footnoteReference w:id="67"/>
      </w:r>
      <w:r w:rsidRPr="00ED2549">
        <w:t xml:space="preserve"> </w:t>
      </w:r>
    </w:p>
    <w:p w14:paraId="6E021368" w14:textId="77777777" w:rsidR="00030303" w:rsidRPr="00ED2549" w:rsidRDefault="00030303" w:rsidP="00030303">
      <w:r w:rsidRPr="00ED2549">
        <w:t>The NDIS Code of Conduct at section 6 states that:</w:t>
      </w:r>
    </w:p>
    <w:p w14:paraId="60AF5CEA" w14:textId="77777777" w:rsidR="00030303" w:rsidRPr="00ED2549" w:rsidRDefault="00030303" w:rsidP="00030303">
      <w:pPr>
        <w:pStyle w:val="Leg2Sec1"/>
        <w:tabs>
          <w:tab w:val="clear" w:pos="1276"/>
          <w:tab w:val="left" w:pos="426"/>
        </w:tabs>
        <w:ind w:left="426" w:firstLine="0"/>
        <w:rPr>
          <w:rFonts w:asciiTheme="minorHAnsi" w:hAnsiTheme="minorHAnsi"/>
          <w:sz w:val="22"/>
        </w:rPr>
      </w:pPr>
      <w:r w:rsidRPr="00ED2549">
        <w:rPr>
          <w:rFonts w:asciiTheme="minorHAnsi" w:hAnsiTheme="minorHAnsi"/>
          <w:sz w:val="22"/>
        </w:rPr>
        <w:t>In providing supports or services to people with disability, a Code-covered person must:</w:t>
      </w:r>
    </w:p>
    <w:p w14:paraId="428C58A5" w14:textId="77777777" w:rsidR="00030303" w:rsidRPr="00ED2549" w:rsidRDefault="00030303" w:rsidP="00030303">
      <w:pPr>
        <w:pStyle w:val="Leg2Sec1"/>
        <w:tabs>
          <w:tab w:val="clear" w:pos="1276"/>
          <w:tab w:val="left" w:pos="426"/>
        </w:tabs>
        <w:ind w:left="426" w:firstLine="0"/>
        <w:rPr>
          <w:rFonts w:asciiTheme="minorHAnsi" w:hAnsiTheme="minorHAnsi"/>
          <w:sz w:val="22"/>
        </w:rPr>
      </w:pPr>
      <w:r w:rsidRPr="00ED2549">
        <w:rPr>
          <w:rFonts w:asciiTheme="minorHAnsi" w:hAnsiTheme="minorHAnsi"/>
          <w:sz w:val="22"/>
        </w:rPr>
        <w:t>(a)</w:t>
      </w:r>
      <w:r w:rsidRPr="00ED2549">
        <w:rPr>
          <w:rFonts w:asciiTheme="minorHAnsi" w:hAnsiTheme="minorHAnsi"/>
          <w:sz w:val="22"/>
        </w:rPr>
        <w:tab/>
      </w:r>
      <w:r w:rsidRPr="00ED2549">
        <w:rPr>
          <w:rFonts w:asciiTheme="minorHAnsi" w:hAnsiTheme="minorHAnsi"/>
          <w:sz w:val="22"/>
        </w:rPr>
        <w:tab/>
        <w:t>…</w:t>
      </w:r>
    </w:p>
    <w:p w14:paraId="1D319167" w14:textId="77777777" w:rsidR="00030303" w:rsidRPr="00ED2549" w:rsidRDefault="00030303" w:rsidP="00030303">
      <w:pPr>
        <w:pStyle w:val="Leg2Sec1"/>
        <w:tabs>
          <w:tab w:val="clear" w:pos="1276"/>
          <w:tab w:val="left" w:pos="426"/>
        </w:tabs>
        <w:ind w:left="426" w:firstLine="0"/>
        <w:rPr>
          <w:rFonts w:asciiTheme="minorHAnsi" w:hAnsiTheme="minorHAnsi"/>
          <w:sz w:val="22"/>
        </w:rPr>
      </w:pPr>
      <w:r w:rsidRPr="00ED2549">
        <w:rPr>
          <w:rFonts w:asciiTheme="minorHAnsi" w:hAnsiTheme="minorHAnsi"/>
          <w:sz w:val="22"/>
        </w:rPr>
        <w:t>(b)     </w:t>
      </w:r>
      <w:r w:rsidRPr="00ED2549">
        <w:rPr>
          <w:rFonts w:asciiTheme="minorHAnsi" w:hAnsiTheme="minorHAnsi"/>
          <w:sz w:val="22"/>
        </w:rPr>
        <w:tab/>
        <w:t>…</w:t>
      </w:r>
    </w:p>
    <w:p w14:paraId="11A3DFA2" w14:textId="77777777" w:rsidR="00030303" w:rsidRPr="00ED2549" w:rsidRDefault="00030303" w:rsidP="00030303">
      <w:pPr>
        <w:pStyle w:val="Leg2Sec1"/>
        <w:tabs>
          <w:tab w:val="clear" w:pos="1276"/>
          <w:tab w:val="left" w:pos="426"/>
        </w:tabs>
        <w:ind w:left="426" w:firstLine="0"/>
        <w:rPr>
          <w:rFonts w:asciiTheme="minorHAnsi" w:hAnsiTheme="minorHAnsi"/>
          <w:sz w:val="22"/>
        </w:rPr>
      </w:pPr>
      <w:r w:rsidRPr="00ED2549">
        <w:rPr>
          <w:rFonts w:asciiTheme="minorHAnsi" w:hAnsiTheme="minorHAnsi"/>
          <w:sz w:val="22"/>
        </w:rPr>
        <w:lastRenderedPageBreak/>
        <w:t>(c)</w:t>
      </w:r>
      <w:r w:rsidRPr="00ED2549">
        <w:rPr>
          <w:rFonts w:asciiTheme="minorHAnsi" w:hAnsiTheme="minorHAnsi"/>
          <w:sz w:val="22"/>
        </w:rPr>
        <w:tab/>
      </w:r>
      <w:r w:rsidRPr="00ED2549">
        <w:rPr>
          <w:rFonts w:asciiTheme="minorHAnsi" w:hAnsiTheme="minorHAnsi"/>
          <w:sz w:val="22"/>
        </w:rPr>
        <w:tab/>
        <w:t>provide supports and services in a safe and competent manner, with care and skill; and</w:t>
      </w:r>
    </w:p>
    <w:p w14:paraId="56C6FAB4" w14:textId="77777777" w:rsidR="00030303" w:rsidRPr="00ED2549" w:rsidRDefault="00030303" w:rsidP="00030303">
      <w:pPr>
        <w:pStyle w:val="Leg2Sec1"/>
        <w:tabs>
          <w:tab w:val="clear" w:pos="1276"/>
          <w:tab w:val="left" w:pos="426"/>
        </w:tabs>
        <w:ind w:left="426" w:firstLine="0"/>
        <w:rPr>
          <w:rFonts w:asciiTheme="minorHAnsi" w:hAnsiTheme="minorHAnsi"/>
          <w:sz w:val="22"/>
        </w:rPr>
      </w:pPr>
      <w:r w:rsidRPr="00ED2549">
        <w:rPr>
          <w:rFonts w:asciiTheme="minorHAnsi" w:hAnsiTheme="minorHAnsi"/>
          <w:sz w:val="22"/>
        </w:rPr>
        <w:t>(d)  </w:t>
      </w:r>
      <w:r w:rsidRPr="00ED2549">
        <w:rPr>
          <w:rFonts w:asciiTheme="minorHAnsi" w:hAnsiTheme="minorHAnsi"/>
          <w:sz w:val="22"/>
        </w:rPr>
        <w:tab/>
        <w:t>   </w:t>
      </w:r>
      <w:r w:rsidRPr="00ED2549">
        <w:rPr>
          <w:rFonts w:asciiTheme="minorHAnsi" w:hAnsiTheme="minorHAnsi"/>
          <w:sz w:val="22"/>
        </w:rPr>
        <w:tab/>
        <w:t>act with integrity, honesty and transparency; and</w:t>
      </w:r>
    </w:p>
    <w:p w14:paraId="2A8CB5B7" w14:textId="77777777" w:rsidR="00030303" w:rsidRPr="00ED2549" w:rsidRDefault="00030303" w:rsidP="00030303">
      <w:pPr>
        <w:pStyle w:val="Leg2Sec1"/>
        <w:tabs>
          <w:tab w:val="clear" w:pos="1276"/>
          <w:tab w:val="left" w:pos="426"/>
        </w:tabs>
        <w:ind w:left="426" w:firstLine="0"/>
        <w:rPr>
          <w:rFonts w:asciiTheme="minorHAnsi" w:hAnsiTheme="minorHAnsi"/>
          <w:sz w:val="22"/>
        </w:rPr>
      </w:pPr>
      <w:r w:rsidRPr="00ED2549">
        <w:rPr>
          <w:rFonts w:asciiTheme="minorHAnsi" w:hAnsiTheme="minorHAnsi"/>
          <w:sz w:val="22"/>
        </w:rPr>
        <w:t>(e)      </w:t>
      </w:r>
      <w:r w:rsidRPr="00ED2549">
        <w:rPr>
          <w:rFonts w:asciiTheme="minorHAnsi" w:hAnsiTheme="minorHAnsi"/>
          <w:sz w:val="22"/>
        </w:rPr>
        <w:tab/>
        <w:t>promptly take steps to raise and act on concerns about matters that may impact the quality and safety of supports and services provided to people with disability; and</w:t>
      </w:r>
    </w:p>
    <w:p w14:paraId="7323FDA7" w14:textId="77777777" w:rsidR="00030303" w:rsidRPr="00ED2549" w:rsidRDefault="00030303" w:rsidP="00030303">
      <w:pPr>
        <w:pStyle w:val="Leg2Sec1"/>
        <w:tabs>
          <w:tab w:val="clear" w:pos="1276"/>
          <w:tab w:val="left" w:pos="426"/>
        </w:tabs>
        <w:ind w:left="426" w:firstLine="0"/>
        <w:rPr>
          <w:rFonts w:asciiTheme="minorHAnsi" w:hAnsiTheme="minorHAnsi"/>
          <w:sz w:val="22"/>
        </w:rPr>
      </w:pPr>
      <w:r w:rsidRPr="00ED2549">
        <w:rPr>
          <w:rFonts w:asciiTheme="minorHAnsi" w:hAnsiTheme="minorHAnsi"/>
          <w:sz w:val="22"/>
        </w:rPr>
        <w:t>(f)      </w:t>
      </w:r>
      <w:r w:rsidRPr="00ED2549">
        <w:rPr>
          <w:rFonts w:asciiTheme="minorHAnsi" w:hAnsiTheme="minorHAnsi"/>
          <w:sz w:val="22"/>
        </w:rPr>
        <w:tab/>
        <w:t>take all reasonable steps to prevent and respond to all forms of violence against, and exploitation, neglect and abuse of, people with disability; and</w:t>
      </w:r>
    </w:p>
    <w:p w14:paraId="46C6D725" w14:textId="77777777" w:rsidR="00030303" w:rsidRPr="00ED2549" w:rsidRDefault="00030303" w:rsidP="00030303">
      <w:pPr>
        <w:pStyle w:val="Leg2Sec1"/>
        <w:tabs>
          <w:tab w:val="clear" w:pos="1276"/>
          <w:tab w:val="left" w:pos="426"/>
        </w:tabs>
        <w:ind w:left="426" w:firstLine="0"/>
        <w:rPr>
          <w:rFonts w:asciiTheme="minorHAnsi" w:hAnsiTheme="minorHAnsi"/>
          <w:sz w:val="22"/>
        </w:rPr>
      </w:pPr>
      <w:r w:rsidRPr="00ED2549">
        <w:rPr>
          <w:rFonts w:asciiTheme="minorHAnsi" w:hAnsiTheme="minorHAnsi"/>
          <w:sz w:val="22"/>
        </w:rPr>
        <w:t>(g)      </w:t>
      </w:r>
      <w:r w:rsidRPr="00ED2549">
        <w:rPr>
          <w:rFonts w:asciiTheme="minorHAnsi" w:hAnsiTheme="minorHAnsi"/>
          <w:sz w:val="22"/>
        </w:rPr>
        <w:tab/>
        <w:t>….</w:t>
      </w:r>
    </w:p>
    <w:p w14:paraId="55387A6F" w14:textId="77777777" w:rsidR="00030303" w:rsidRPr="00ED2549" w:rsidRDefault="00030303" w:rsidP="00030303">
      <w:r w:rsidRPr="00ED2549">
        <w:t xml:space="preserve">For registered NDIS providers, the obligations are more significant. The NDIS Practice Standards, set out in s 20 of the </w:t>
      </w:r>
      <w:r w:rsidRPr="00ED2549">
        <w:rPr>
          <w:i/>
        </w:rPr>
        <w:t>National Disability Insurance Scheme (Provider Registration and Practice Standards) Rules 2018</w:t>
      </w:r>
      <w:r w:rsidRPr="00ED2549">
        <w:t xml:space="preserve">, exhaustively codifies the standard of care delivered by registered NDIS providers. The specific circumstances of the case will determine which of the NDIS Practice Standards have not been complied with as required by s 20(2) of the </w:t>
      </w:r>
      <w:r w:rsidRPr="00ED2549">
        <w:rPr>
          <w:i/>
        </w:rPr>
        <w:t>National Disability Insurance Scheme (Provider Registration and Practice Standards) Rules 2018</w:t>
      </w:r>
      <w:r w:rsidRPr="00ED2549">
        <w:t xml:space="preserve">. </w:t>
      </w:r>
    </w:p>
    <w:p w14:paraId="72BDE5EA" w14:textId="77777777" w:rsidR="00030303" w:rsidRPr="00ED2549" w:rsidRDefault="00030303" w:rsidP="00030303">
      <w:r w:rsidRPr="00ED2549">
        <w:t>The NDIS Quality and Safeguards Commissioner could then take a variety of enforcement and remedial action against the disability service provider, including:</w:t>
      </w:r>
    </w:p>
    <w:p w14:paraId="7A2A29EE" w14:textId="77777777" w:rsidR="00030303" w:rsidRPr="00ED2549" w:rsidRDefault="00030303" w:rsidP="00030303">
      <w:pPr>
        <w:pStyle w:val="ListParagraph"/>
        <w:numPr>
          <w:ilvl w:val="0"/>
          <w:numId w:val="19"/>
        </w:numPr>
        <w:tabs>
          <w:tab w:val="num" w:pos="709"/>
        </w:tabs>
      </w:pPr>
      <w:r w:rsidRPr="00ED2549">
        <w:t>investigating the conduct</w:t>
      </w:r>
      <w:r w:rsidRPr="00ED2549">
        <w:rPr>
          <w:vertAlign w:val="superscript"/>
        </w:rPr>
        <w:footnoteReference w:id="68"/>
      </w:r>
    </w:p>
    <w:p w14:paraId="3E978D44" w14:textId="77777777" w:rsidR="00030303" w:rsidRPr="00ED2549" w:rsidRDefault="00030303" w:rsidP="00030303">
      <w:pPr>
        <w:pStyle w:val="ListParagraph"/>
        <w:numPr>
          <w:ilvl w:val="0"/>
          <w:numId w:val="19"/>
        </w:numPr>
        <w:tabs>
          <w:tab w:val="num" w:pos="709"/>
        </w:tabs>
      </w:pPr>
      <w:r w:rsidRPr="00ED2549">
        <w:t>varying the service provider’s registration</w:t>
      </w:r>
      <w:r w:rsidRPr="00ED2549">
        <w:rPr>
          <w:vertAlign w:val="superscript"/>
        </w:rPr>
        <w:footnoteReference w:id="69"/>
      </w:r>
    </w:p>
    <w:p w14:paraId="571342A4" w14:textId="77777777" w:rsidR="00030303" w:rsidRPr="00ED2549" w:rsidRDefault="00030303" w:rsidP="00030303">
      <w:pPr>
        <w:pStyle w:val="ListParagraph"/>
        <w:numPr>
          <w:ilvl w:val="0"/>
          <w:numId w:val="19"/>
        </w:numPr>
        <w:tabs>
          <w:tab w:val="num" w:pos="709"/>
        </w:tabs>
      </w:pPr>
      <w:r w:rsidRPr="00ED2549">
        <w:t>suspension of the service provider’s registration</w:t>
      </w:r>
      <w:r w:rsidRPr="00ED2549">
        <w:rPr>
          <w:vertAlign w:val="superscript"/>
        </w:rPr>
        <w:footnoteReference w:id="70"/>
      </w:r>
    </w:p>
    <w:p w14:paraId="18F07EB9" w14:textId="77777777" w:rsidR="00030303" w:rsidRPr="00ED2549" w:rsidRDefault="00030303" w:rsidP="00030303">
      <w:pPr>
        <w:pStyle w:val="ListParagraph"/>
        <w:numPr>
          <w:ilvl w:val="0"/>
          <w:numId w:val="19"/>
        </w:numPr>
        <w:tabs>
          <w:tab w:val="num" w:pos="709"/>
        </w:tabs>
      </w:pPr>
      <w:r w:rsidRPr="00ED2549">
        <w:t>termination of the service provider’s registration</w:t>
      </w:r>
      <w:r w:rsidRPr="00ED2549">
        <w:rPr>
          <w:vertAlign w:val="superscript"/>
        </w:rPr>
        <w:footnoteReference w:id="71"/>
      </w:r>
    </w:p>
    <w:p w14:paraId="5D3A3D52" w14:textId="77777777" w:rsidR="00030303" w:rsidRPr="00ED2549" w:rsidRDefault="00030303" w:rsidP="00030303">
      <w:pPr>
        <w:pStyle w:val="ListParagraph"/>
        <w:numPr>
          <w:ilvl w:val="0"/>
          <w:numId w:val="19"/>
        </w:numPr>
        <w:tabs>
          <w:tab w:val="num" w:pos="709"/>
        </w:tabs>
      </w:pPr>
      <w:r w:rsidRPr="00ED2549">
        <w:t>issuing a compliance notice</w:t>
      </w:r>
      <w:r w:rsidRPr="00ED2549">
        <w:rPr>
          <w:vertAlign w:val="superscript"/>
        </w:rPr>
        <w:footnoteReference w:id="72"/>
      </w:r>
    </w:p>
    <w:p w14:paraId="1E4F62E2" w14:textId="77777777" w:rsidR="00030303" w:rsidRPr="00ED2549" w:rsidRDefault="00030303" w:rsidP="00030303">
      <w:pPr>
        <w:pStyle w:val="ListParagraph"/>
        <w:numPr>
          <w:ilvl w:val="0"/>
          <w:numId w:val="19"/>
        </w:numPr>
        <w:tabs>
          <w:tab w:val="num" w:pos="709"/>
        </w:tabs>
      </w:pPr>
      <w:r w:rsidRPr="00ED2549">
        <w:t>making a banning order</w:t>
      </w:r>
      <w:r w:rsidRPr="00ED2549">
        <w:rPr>
          <w:vertAlign w:val="superscript"/>
        </w:rPr>
        <w:footnoteReference w:id="73"/>
      </w:r>
    </w:p>
    <w:p w14:paraId="669147C0" w14:textId="77777777" w:rsidR="00030303" w:rsidRPr="00ED2549" w:rsidRDefault="00030303" w:rsidP="00030303">
      <w:pPr>
        <w:pStyle w:val="ListParagraph"/>
        <w:numPr>
          <w:ilvl w:val="0"/>
          <w:numId w:val="19"/>
        </w:numPr>
        <w:tabs>
          <w:tab w:val="num" w:pos="709"/>
        </w:tabs>
      </w:pPr>
      <w:r w:rsidRPr="00ED2549">
        <w:t>seeking an enforceable undertaking from the service provider</w:t>
      </w:r>
      <w:r w:rsidRPr="00ED2549">
        <w:rPr>
          <w:vertAlign w:val="superscript"/>
        </w:rPr>
        <w:footnoteReference w:id="74"/>
      </w:r>
    </w:p>
    <w:p w14:paraId="6E7A6DCF" w14:textId="77777777" w:rsidR="00030303" w:rsidRPr="00ED2549" w:rsidRDefault="00030303" w:rsidP="00030303">
      <w:pPr>
        <w:pStyle w:val="ListParagraph"/>
        <w:numPr>
          <w:ilvl w:val="0"/>
          <w:numId w:val="19"/>
        </w:numPr>
        <w:tabs>
          <w:tab w:val="num" w:pos="709"/>
        </w:tabs>
      </w:pPr>
      <w:r w:rsidRPr="00ED2549">
        <w:lastRenderedPageBreak/>
        <w:t>applying to a court for injunctive relief,</w:t>
      </w:r>
      <w:r w:rsidRPr="00ED2549">
        <w:rPr>
          <w:vertAlign w:val="superscript"/>
        </w:rPr>
        <w:footnoteReference w:id="75"/>
      </w:r>
      <w:r w:rsidRPr="00ED2549">
        <w:t xml:space="preserve"> and</w:t>
      </w:r>
    </w:p>
    <w:p w14:paraId="69D38EF7" w14:textId="77777777" w:rsidR="00030303" w:rsidRPr="00ED2549" w:rsidRDefault="00030303" w:rsidP="00030303">
      <w:pPr>
        <w:pStyle w:val="ListParagraph"/>
        <w:numPr>
          <w:ilvl w:val="0"/>
          <w:numId w:val="19"/>
        </w:numPr>
        <w:tabs>
          <w:tab w:val="num" w:pos="709"/>
        </w:tabs>
      </w:pPr>
      <w:r w:rsidRPr="00ED2549">
        <w:t>taking civil penalty action, including issuing infringement notices.</w:t>
      </w:r>
      <w:r w:rsidRPr="00ED2549">
        <w:rPr>
          <w:vertAlign w:val="superscript"/>
        </w:rPr>
        <w:footnoteReference w:id="76"/>
      </w:r>
    </w:p>
    <w:p w14:paraId="742081CE" w14:textId="77777777" w:rsidR="00030303" w:rsidRDefault="00030303" w:rsidP="00030303">
      <w:pPr>
        <w:sectPr w:rsidR="00030303" w:rsidSect="00030303">
          <w:pgSz w:w="16840" w:h="11907" w:orient="landscape" w:code="9"/>
          <w:pgMar w:top="1440" w:right="958" w:bottom="1440" w:left="1440" w:header="142" w:footer="0" w:gutter="0"/>
          <w:cols w:space="708"/>
          <w:titlePg/>
          <w:docGrid w:linePitch="360"/>
        </w:sectPr>
      </w:pPr>
      <w:r w:rsidRPr="00ED2549">
        <w:t>However, the extent to which enforcement action can be taken will depend on the registration status of the service provider. The actions above that reference ‘registration’ only apply if the service provider is registered</w:t>
      </w:r>
      <w:r w:rsidRPr="00FC0527">
        <w:t>.</w:t>
      </w:r>
    </w:p>
    <w:p w14:paraId="1E20A124" w14:textId="77777777" w:rsidR="00030303" w:rsidRPr="009F3D3E" w:rsidRDefault="00030303" w:rsidP="00EC2850">
      <w:pPr>
        <w:pStyle w:val="Heading6"/>
        <w:numPr>
          <w:ilvl w:val="5"/>
          <w:numId w:val="0"/>
        </w:numPr>
        <w:tabs>
          <w:tab w:val="num" w:pos="1"/>
        </w:tabs>
      </w:pPr>
      <w:r w:rsidRPr="009F3D3E">
        <w:lastRenderedPageBreak/>
        <w:t xml:space="preserve">Regulation of disability service providers under the </w:t>
      </w:r>
      <w:r w:rsidRPr="00321833">
        <w:rPr>
          <w:i/>
        </w:rPr>
        <w:t>National Disability Insurance Scheme Act 2013</w:t>
      </w:r>
      <w:r w:rsidRPr="009F3D3E">
        <w:t xml:space="preserve"> – a summary</w:t>
      </w:r>
    </w:p>
    <w:tbl>
      <w:tblPr>
        <w:tblStyle w:val="TableGrid"/>
        <w:tblW w:w="0" w:type="auto"/>
        <w:tblLook w:val="04A0" w:firstRow="1" w:lastRow="0" w:firstColumn="1" w:lastColumn="0" w:noHBand="0" w:noVBand="1"/>
      </w:tblPr>
      <w:tblGrid>
        <w:gridCol w:w="2394"/>
        <w:gridCol w:w="8516"/>
      </w:tblGrid>
      <w:tr w:rsidR="00030303" w:rsidRPr="009F3D3E" w14:paraId="53F23F00" w14:textId="77777777" w:rsidTr="00030303">
        <w:trPr>
          <w:trHeight w:val="496"/>
          <w:tblHeader/>
        </w:trPr>
        <w:tc>
          <w:tcPr>
            <w:tcW w:w="2394" w:type="dxa"/>
            <w:tcBorders>
              <w:top w:val="single" w:sz="4" w:space="0" w:color="auto"/>
              <w:left w:val="single" w:sz="4" w:space="0" w:color="auto"/>
              <w:bottom w:val="single" w:sz="4" w:space="0" w:color="auto"/>
              <w:right w:val="single" w:sz="4" w:space="0" w:color="auto"/>
            </w:tcBorders>
            <w:shd w:val="clear" w:color="auto" w:fill="D9D9D9"/>
            <w:hideMark/>
          </w:tcPr>
          <w:p w14:paraId="64D2ABBB" w14:textId="77777777" w:rsidR="00030303" w:rsidRPr="009F3D3E" w:rsidRDefault="00030303" w:rsidP="00030303">
            <w:pPr>
              <w:rPr>
                <w:b/>
              </w:rPr>
            </w:pPr>
            <w:r w:rsidRPr="009F3D3E">
              <w:rPr>
                <w:b/>
              </w:rPr>
              <w:t>Topic</w:t>
            </w:r>
          </w:p>
        </w:tc>
        <w:tc>
          <w:tcPr>
            <w:tcW w:w="8516" w:type="dxa"/>
            <w:tcBorders>
              <w:top w:val="single" w:sz="4" w:space="0" w:color="auto"/>
              <w:left w:val="single" w:sz="4" w:space="0" w:color="auto"/>
              <w:bottom w:val="single" w:sz="4" w:space="0" w:color="auto"/>
              <w:right w:val="single" w:sz="4" w:space="0" w:color="auto"/>
            </w:tcBorders>
            <w:shd w:val="clear" w:color="auto" w:fill="D9D9D9"/>
            <w:hideMark/>
          </w:tcPr>
          <w:p w14:paraId="011313FB" w14:textId="77777777" w:rsidR="00030303" w:rsidRPr="009F3D3E" w:rsidRDefault="00030303" w:rsidP="00030303">
            <w:pPr>
              <w:rPr>
                <w:b/>
              </w:rPr>
            </w:pPr>
            <w:r w:rsidRPr="009F3D3E">
              <w:rPr>
                <w:b/>
                <w:i/>
              </w:rPr>
              <w:t>National Disability Insurance Scheme Act 2013</w:t>
            </w:r>
            <w:r w:rsidRPr="009F3D3E">
              <w:rPr>
                <w:b/>
              </w:rPr>
              <w:t xml:space="preserve"> (</w:t>
            </w:r>
            <w:proofErr w:type="spellStart"/>
            <w:r w:rsidRPr="009F3D3E">
              <w:rPr>
                <w:b/>
              </w:rPr>
              <w:t>Cth</w:t>
            </w:r>
            <w:proofErr w:type="spellEnd"/>
            <w:r w:rsidRPr="009F3D3E">
              <w:rPr>
                <w:b/>
              </w:rPr>
              <w:t>)</w:t>
            </w:r>
          </w:p>
        </w:tc>
      </w:tr>
      <w:tr w:rsidR="00030303" w:rsidRPr="009F3D3E" w14:paraId="629A146B" w14:textId="77777777" w:rsidTr="00030303">
        <w:trPr>
          <w:trHeight w:val="2649"/>
        </w:trPr>
        <w:tc>
          <w:tcPr>
            <w:tcW w:w="2394" w:type="dxa"/>
            <w:tcBorders>
              <w:top w:val="single" w:sz="4" w:space="0" w:color="auto"/>
              <w:left w:val="single" w:sz="4" w:space="0" w:color="auto"/>
              <w:bottom w:val="single" w:sz="4" w:space="0" w:color="auto"/>
              <w:right w:val="single" w:sz="4" w:space="0" w:color="auto"/>
            </w:tcBorders>
            <w:hideMark/>
          </w:tcPr>
          <w:p w14:paraId="0F67D366" w14:textId="77777777" w:rsidR="00030303" w:rsidRPr="009F3D3E" w:rsidRDefault="00030303" w:rsidP="00030303">
            <w:pPr>
              <w:rPr>
                <w:b/>
              </w:rPr>
            </w:pPr>
            <w:r w:rsidRPr="009F3D3E">
              <w:rPr>
                <w:b/>
              </w:rPr>
              <w:t>Requirement to be a registered NDIS provider</w:t>
            </w:r>
          </w:p>
        </w:tc>
        <w:tc>
          <w:tcPr>
            <w:tcW w:w="8516" w:type="dxa"/>
            <w:tcBorders>
              <w:top w:val="single" w:sz="4" w:space="0" w:color="auto"/>
              <w:left w:val="single" w:sz="4" w:space="0" w:color="auto"/>
              <w:bottom w:val="single" w:sz="4" w:space="0" w:color="auto"/>
              <w:right w:val="single" w:sz="4" w:space="0" w:color="auto"/>
            </w:tcBorders>
          </w:tcPr>
          <w:p w14:paraId="1D259A51" w14:textId="77777777" w:rsidR="00030303" w:rsidRPr="009F3D3E" w:rsidRDefault="00030303" w:rsidP="00030303">
            <w:r w:rsidRPr="009F3D3E">
              <w:t xml:space="preserve">The </w:t>
            </w:r>
            <w:r w:rsidRPr="009F3D3E">
              <w:rPr>
                <w:i/>
              </w:rPr>
              <w:t>National Disability Insurance Scheme (Provider Registration and Practice Standards) Rules 2018</w:t>
            </w:r>
            <w:r w:rsidRPr="009F3D3E">
              <w:t xml:space="preserve"> require that specified classes of supports provided under participants’ plans are to be provided only by persons who are registered under section 73E to provide those classes of supports (s 73</w:t>
            </w:r>
            <w:proofErr w:type="gramStart"/>
            <w:r w:rsidRPr="009F3D3E">
              <w:t>B</w:t>
            </w:r>
            <w:r>
              <w:t>(</w:t>
            </w:r>
            <w:proofErr w:type="gramEnd"/>
            <w:r>
              <w:t>1)</w:t>
            </w:r>
            <w:r w:rsidRPr="009F3D3E">
              <w:t>)</w:t>
            </w:r>
            <w:r>
              <w:t>.</w:t>
            </w:r>
          </w:p>
          <w:p w14:paraId="469DD9FC" w14:textId="77777777" w:rsidR="00030303" w:rsidRPr="009F3D3E" w:rsidRDefault="00030303" w:rsidP="00030303"/>
          <w:p w14:paraId="30C07A1B" w14:textId="77777777" w:rsidR="00030303" w:rsidRPr="009F3D3E" w:rsidRDefault="00030303" w:rsidP="00030303">
            <w:r w:rsidRPr="009F3D3E">
              <w:t>A person must not provide a support under a participant’s plan if the National Disability Insurance Scheme rules require the person to be registered to provide the support under the plan and the person is not so registered</w:t>
            </w:r>
            <w:r>
              <w:rPr>
                <w:b/>
              </w:rPr>
              <w:t xml:space="preserve"> </w:t>
            </w:r>
            <w:r w:rsidRPr="009F3D3E">
              <w:t>(s 73</w:t>
            </w:r>
            <w:proofErr w:type="gramStart"/>
            <w:r w:rsidRPr="009F3D3E">
              <w:t>B</w:t>
            </w:r>
            <w:r>
              <w:t>(</w:t>
            </w:r>
            <w:proofErr w:type="gramEnd"/>
            <w:r>
              <w:t>2)</w:t>
            </w:r>
            <w:r w:rsidRPr="009F3D3E">
              <w:t>)</w:t>
            </w:r>
            <w:r>
              <w:t>.</w:t>
            </w:r>
          </w:p>
          <w:p w14:paraId="63192450" w14:textId="77777777" w:rsidR="00030303" w:rsidRPr="009F3D3E" w:rsidRDefault="00030303" w:rsidP="00030303"/>
          <w:p w14:paraId="56930E57" w14:textId="77777777" w:rsidR="00030303" w:rsidRPr="009F3D3E" w:rsidRDefault="00030303" w:rsidP="00030303">
            <w:pPr>
              <w:rPr>
                <w:b/>
              </w:rPr>
            </w:pPr>
            <w:r w:rsidRPr="009F3D3E">
              <w:t>Civil penalty:          250 penalty units.</w:t>
            </w:r>
            <w:r w:rsidRPr="009F3D3E">
              <w:rPr>
                <w:b/>
              </w:rPr>
              <w:t xml:space="preserve"> </w:t>
            </w:r>
          </w:p>
        </w:tc>
      </w:tr>
      <w:tr w:rsidR="00030303" w:rsidRPr="009F3D3E" w14:paraId="37DA380D" w14:textId="77777777" w:rsidTr="00030303">
        <w:trPr>
          <w:trHeight w:val="5368"/>
        </w:trPr>
        <w:tc>
          <w:tcPr>
            <w:tcW w:w="2394" w:type="dxa"/>
            <w:tcBorders>
              <w:top w:val="single" w:sz="4" w:space="0" w:color="auto"/>
              <w:left w:val="single" w:sz="4" w:space="0" w:color="auto"/>
              <w:bottom w:val="single" w:sz="4" w:space="0" w:color="auto"/>
              <w:right w:val="single" w:sz="4" w:space="0" w:color="auto"/>
            </w:tcBorders>
          </w:tcPr>
          <w:p w14:paraId="4C0E2D87" w14:textId="77777777" w:rsidR="00030303" w:rsidRPr="009F3D3E" w:rsidRDefault="00030303" w:rsidP="00030303">
            <w:pPr>
              <w:rPr>
                <w:b/>
              </w:rPr>
            </w:pPr>
            <w:r w:rsidRPr="009F3D3E">
              <w:rPr>
                <w:b/>
              </w:rPr>
              <w:lastRenderedPageBreak/>
              <w:t>Registration of an NDIS provider is subject to conditions</w:t>
            </w:r>
          </w:p>
        </w:tc>
        <w:tc>
          <w:tcPr>
            <w:tcW w:w="8516" w:type="dxa"/>
            <w:tcBorders>
              <w:top w:val="single" w:sz="4" w:space="0" w:color="auto"/>
              <w:left w:val="single" w:sz="4" w:space="0" w:color="auto"/>
              <w:bottom w:val="single" w:sz="4" w:space="0" w:color="auto"/>
              <w:right w:val="single" w:sz="4" w:space="0" w:color="auto"/>
            </w:tcBorders>
          </w:tcPr>
          <w:p w14:paraId="56F57A05" w14:textId="77777777" w:rsidR="00030303" w:rsidRPr="009F3D3E" w:rsidRDefault="00030303" w:rsidP="00030303">
            <w:r w:rsidRPr="009F3D3E">
              <w:t>The registration of a person as a registered NDIS provider is subject to the following conditions</w:t>
            </w:r>
            <w:r>
              <w:t xml:space="preserve"> (s 73F)</w:t>
            </w:r>
            <w:r w:rsidRPr="009F3D3E">
              <w:t>:</w:t>
            </w:r>
          </w:p>
          <w:p w14:paraId="2256F3D3" w14:textId="77777777" w:rsidR="00030303" w:rsidRPr="009F3D3E" w:rsidRDefault="00030303" w:rsidP="00030303">
            <w:pPr>
              <w:numPr>
                <w:ilvl w:val="0"/>
                <w:numId w:val="21"/>
              </w:numPr>
              <w:spacing w:after="0" w:line="240" w:lineRule="auto"/>
            </w:pPr>
            <w:r w:rsidRPr="009F3D3E">
              <w:t>a condition that the person comply with all applicable requirements imposed by a law of the Commonwealth or a law of the State or Territory in which the person or entity operates as a registered NDIS provider;</w:t>
            </w:r>
          </w:p>
          <w:p w14:paraId="7CD4AF9A" w14:textId="77777777" w:rsidR="00030303" w:rsidRPr="009F3D3E" w:rsidRDefault="00030303" w:rsidP="00030303">
            <w:pPr>
              <w:numPr>
                <w:ilvl w:val="0"/>
                <w:numId w:val="21"/>
              </w:numPr>
              <w:spacing w:after="0" w:line="240" w:lineRule="auto"/>
            </w:pPr>
            <w:r w:rsidRPr="009F3D3E">
              <w:t>a condition that the person comply with all applicable requirements of the NDIS Code of Conduct;</w:t>
            </w:r>
          </w:p>
          <w:p w14:paraId="0661B1DE" w14:textId="77777777" w:rsidR="00030303" w:rsidRPr="009F3D3E" w:rsidRDefault="00030303" w:rsidP="00030303">
            <w:pPr>
              <w:numPr>
                <w:ilvl w:val="0"/>
                <w:numId w:val="21"/>
              </w:numPr>
              <w:spacing w:after="0" w:line="240" w:lineRule="auto"/>
            </w:pPr>
            <w:r w:rsidRPr="009F3D3E">
              <w:t>a condition that the person comply with all applicable standards and other requirements of the NDIS Practice Standards;</w:t>
            </w:r>
          </w:p>
          <w:p w14:paraId="6CF13C21" w14:textId="77777777" w:rsidR="00030303" w:rsidRPr="009F3D3E" w:rsidRDefault="00030303" w:rsidP="00030303">
            <w:pPr>
              <w:numPr>
                <w:ilvl w:val="0"/>
                <w:numId w:val="21"/>
              </w:numPr>
              <w:spacing w:after="0" w:line="240" w:lineRule="auto"/>
            </w:pPr>
            <w:r w:rsidRPr="009F3D3E">
              <w:t>a condition that the person comply with all applicable requirements relating to record keeping prescribed by the National Disability Insurance Scheme rules for the purposes of section 73Q;</w:t>
            </w:r>
          </w:p>
          <w:p w14:paraId="7D9CBDD0" w14:textId="77777777" w:rsidR="00030303" w:rsidRPr="009F3D3E" w:rsidRDefault="00030303" w:rsidP="00030303">
            <w:pPr>
              <w:numPr>
                <w:ilvl w:val="0"/>
                <w:numId w:val="21"/>
              </w:numPr>
              <w:spacing w:after="0" w:line="240" w:lineRule="auto"/>
            </w:pPr>
            <w:r w:rsidRPr="009F3D3E">
              <w:t>a condition that the person implement and maintain the applicable complaints management and resolution system in accordance with section 73W;</w:t>
            </w:r>
          </w:p>
          <w:p w14:paraId="012AD046" w14:textId="77777777" w:rsidR="00030303" w:rsidRPr="009F3D3E" w:rsidRDefault="00030303" w:rsidP="00030303">
            <w:pPr>
              <w:numPr>
                <w:ilvl w:val="0"/>
                <w:numId w:val="21"/>
              </w:numPr>
              <w:spacing w:after="0" w:line="240" w:lineRule="auto"/>
            </w:pPr>
            <w:r w:rsidRPr="009F3D3E">
              <w:t>a condition that the person comply with all applicable requirements relating to complaints prescribed by the National Disability Insurance Scheme rules for the purposes of section 73X;</w:t>
            </w:r>
          </w:p>
          <w:p w14:paraId="6284BCB5" w14:textId="77777777" w:rsidR="00030303" w:rsidRPr="009F3D3E" w:rsidRDefault="00030303" w:rsidP="00030303">
            <w:pPr>
              <w:numPr>
                <w:ilvl w:val="0"/>
                <w:numId w:val="21"/>
              </w:numPr>
              <w:spacing w:after="0" w:line="240" w:lineRule="auto"/>
            </w:pPr>
            <w:r w:rsidRPr="009F3D3E">
              <w:t>a condition that the person implement and maintain the applicable incident management system in accordance with section 73Y;</w:t>
            </w:r>
          </w:p>
          <w:p w14:paraId="19485D33" w14:textId="77777777" w:rsidR="00030303" w:rsidRPr="009F3D3E" w:rsidRDefault="00030303" w:rsidP="00030303">
            <w:pPr>
              <w:numPr>
                <w:ilvl w:val="0"/>
                <w:numId w:val="21"/>
              </w:numPr>
              <w:spacing w:after="0" w:line="240" w:lineRule="auto"/>
            </w:pPr>
            <w:r w:rsidRPr="009F3D3E">
              <w:t>a condition that the person comply with all applicable requirements relating to reportable incidents prescribed by the National Disability Insurance Scheme rules for the purposes of section 73Z;</w:t>
            </w:r>
          </w:p>
          <w:p w14:paraId="082C2C9F" w14:textId="77777777" w:rsidR="00030303" w:rsidRPr="009F3D3E" w:rsidRDefault="00030303" w:rsidP="00030303">
            <w:pPr>
              <w:numPr>
                <w:ilvl w:val="0"/>
                <w:numId w:val="21"/>
              </w:numPr>
              <w:spacing w:after="0" w:line="240" w:lineRule="auto"/>
            </w:pPr>
            <w:r w:rsidRPr="009F3D3E">
              <w:t>a condition that the person give to the Commissioner, on request, information specified in the request within the period specified in the request (which must not be less than 14 days);</w:t>
            </w:r>
          </w:p>
          <w:p w14:paraId="21B880FE" w14:textId="77777777" w:rsidR="00030303" w:rsidRPr="009F3D3E" w:rsidRDefault="00030303" w:rsidP="00030303">
            <w:pPr>
              <w:numPr>
                <w:ilvl w:val="0"/>
                <w:numId w:val="21"/>
              </w:numPr>
              <w:spacing w:after="0" w:line="240" w:lineRule="auto"/>
            </w:pPr>
            <w:r w:rsidRPr="009F3D3E">
              <w:t>conditions (if any) imposed by the Commissioner under section 73G;</w:t>
            </w:r>
            <w:r>
              <w:t xml:space="preserve"> and</w:t>
            </w:r>
          </w:p>
          <w:p w14:paraId="3E3950B6" w14:textId="77777777" w:rsidR="00030303" w:rsidRPr="009F3D3E" w:rsidRDefault="00030303" w:rsidP="00030303">
            <w:pPr>
              <w:numPr>
                <w:ilvl w:val="0"/>
                <w:numId w:val="21"/>
              </w:numPr>
              <w:spacing w:after="0" w:line="240" w:lineRule="auto"/>
            </w:pPr>
            <w:r w:rsidRPr="009F3D3E">
              <w:t>conditions (if any) determined by the National Disability Insurance Scheme rules under section 73H</w:t>
            </w:r>
            <w:r>
              <w:t>.</w:t>
            </w:r>
          </w:p>
        </w:tc>
      </w:tr>
      <w:tr w:rsidR="00030303" w:rsidRPr="009F3D3E" w14:paraId="263C80B8" w14:textId="77777777" w:rsidTr="00030303">
        <w:trPr>
          <w:trHeight w:val="1849"/>
        </w:trPr>
        <w:tc>
          <w:tcPr>
            <w:tcW w:w="2394" w:type="dxa"/>
            <w:tcBorders>
              <w:top w:val="single" w:sz="4" w:space="0" w:color="auto"/>
              <w:left w:val="single" w:sz="4" w:space="0" w:color="auto"/>
              <w:bottom w:val="single" w:sz="4" w:space="0" w:color="auto"/>
              <w:right w:val="single" w:sz="4" w:space="0" w:color="auto"/>
            </w:tcBorders>
          </w:tcPr>
          <w:p w14:paraId="49A50DB5" w14:textId="77777777" w:rsidR="00030303" w:rsidRPr="009F3D3E" w:rsidRDefault="00030303" w:rsidP="00030303">
            <w:pPr>
              <w:rPr>
                <w:b/>
              </w:rPr>
            </w:pPr>
            <w:r w:rsidRPr="009F3D3E">
              <w:rPr>
                <w:b/>
              </w:rPr>
              <w:lastRenderedPageBreak/>
              <w:t>Registered NDIS providers must comply with conditions of registration</w:t>
            </w:r>
          </w:p>
        </w:tc>
        <w:tc>
          <w:tcPr>
            <w:tcW w:w="8516" w:type="dxa"/>
            <w:tcBorders>
              <w:top w:val="single" w:sz="4" w:space="0" w:color="auto"/>
              <w:left w:val="single" w:sz="4" w:space="0" w:color="auto"/>
              <w:bottom w:val="single" w:sz="4" w:space="0" w:color="auto"/>
              <w:right w:val="single" w:sz="4" w:space="0" w:color="auto"/>
            </w:tcBorders>
          </w:tcPr>
          <w:p w14:paraId="5C0BC16D" w14:textId="77777777" w:rsidR="00030303" w:rsidRPr="009F3D3E" w:rsidRDefault="00030303" w:rsidP="00030303">
            <w:pPr>
              <w:rPr>
                <w:b/>
              </w:rPr>
            </w:pPr>
            <w:r w:rsidRPr="009F3D3E">
              <w:t>A person contravenes s 73J if the person is a registered NDIS provider and breaches a condition to which the registration of the person is subject</w:t>
            </w:r>
            <w:r>
              <w:t xml:space="preserve"> </w:t>
            </w:r>
            <w:r w:rsidRPr="009F3D3E">
              <w:t>(</w:t>
            </w:r>
            <w:r>
              <w:t xml:space="preserve">s </w:t>
            </w:r>
            <w:r w:rsidRPr="009F3D3E">
              <w:t>73J).</w:t>
            </w:r>
          </w:p>
          <w:p w14:paraId="4A086949" w14:textId="77777777" w:rsidR="00030303" w:rsidRPr="009F3D3E" w:rsidRDefault="00030303" w:rsidP="00030303"/>
          <w:p w14:paraId="3FBBE492" w14:textId="77777777" w:rsidR="00030303" w:rsidRPr="009F3D3E" w:rsidRDefault="00030303" w:rsidP="00030303">
            <w:pPr>
              <w:rPr>
                <w:b/>
              </w:rPr>
            </w:pPr>
            <w:r w:rsidRPr="009F3D3E">
              <w:t>Civil penalty:          250 penalty units.</w:t>
            </w:r>
          </w:p>
        </w:tc>
      </w:tr>
      <w:tr w:rsidR="00030303" w:rsidRPr="009F3D3E" w14:paraId="041713A9" w14:textId="77777777" w:rsidTr="00030303">
        <w:trPr>
          <w:trHeight w:val="4029"/>
        </w:trPr>
        <w:tc>
          <w:tcPr>
            <w:tcW w:w="2394" w:type="dxa"/>
            <w:tcBorders>
              <w:top w:val="single" w:sz="4" w:space="0" w:color="auto"/>
              <w:left w:val="single" w:sz="4" w:space="0" w:color="auto"/>
              <w:bottom w:val="single" w:sz="4" w:space="0" w:color="auto"/>
              <w:right w:val="single" w:sz="4" w:space="0" w:color="auto"/>
            </w:tcBorders>
          </w:tcPr>
          <w:p w14:paraId="7A22D7D9" w14:textId="77777777" w:rsidR="00030303" w:rsidRPr="009F3D3E" w:rsidRDefault="00030303" w:rsidP="00030303">
            <w:pPr>
              <w:rPr>
                <w:b/>
              </w:rPr>
            </w:pPr>
            <w:r w:rsidRPr="009F3D3E">
              <w:rPr>
                <w:b/>
              </w:rPr>
              <w:t>Commissioner may vary registration</w:t>
            </w:r>
          </w:p>
        </w:tc>
        <w:tc>
          <w:tcPr>
            <w:tcW w:w="8516" w:type="dxa"/>
            <w:tcBorders>
              <w:top w:val="single" w:sz="4" w:space="0" w:color="auto"/>
              <w:left w:val="single" w:sz="4" w:space="0" w:color="auto"/>
              <w:bottom w:val="single" w:sz="4" w:space="0" w:color="auto"/>
              <w:right w:val="single" w:sz="4" w:space="0" w:color="auto"/>
            </w:tcBorders>
          </w:tcPr>
          <w:p w14:paraId="25BFAB33" w14:textId="77777777" w:rsidR="00030303" w:rsidRPr="009F3D3E" w:rsidRDefault="00030303" w:rsidP="00030303">
            <w:pPr>
              <w:rPr>
                <w:b/>
              </w:rPr>
            </w:pPr>
            <w:r w:rsidRPr="009F3D3E">
              <w:t>The Commissioner may vary the registration of a registered NDIS provider, by written notice given to the provider</w:t>
            </w:r>
            <w:r w:rsidRPr="009F3D3E">
              <w:rPr>
                <w:b/>
              </w:rPr>
              <w:t xml:space="preserve"> </w:t>
            </w:r>
            <w:r w:rsidRPr="009F3D3E">
              <w:t>(s</w:t>
            </w:r>
            <w:r>
              <w:t xml:space="preserve"> </w:t>
            </w:r>
            <w:r w:rsidRPr="009F3D3E">
              <w:t>73</w:t>
            </w:r>
            <w:proofErr w:type="gramStart"/>
            <w:r w:rsidRPr="009F3D3E">
              <w:t>L</w:t>
            </w:r>
            <w:r>
              <w:t>(</w:t>
            </w:r>
            <w:proofErr w:type="gramEnd"/>
            <w:r>
              <w:t>1)</w:t>
            </w:r>
            <w:r w:rsidRPr="009F3D3E">
              <w:t>):</w:t>
            </w:r>
          </w:p>
          <w:p w14:paraId="451797AC" w14:textId="77777777" w:rsidR="00030303" w:rsidRPr="009F3D3E" w:rsidRDefault="00030303" w:rsidP="00030303">
            <w:pPr>
              <w:numPr>
                <w:ilvl w:val="0"/>
                <w:numId w:val="22"/>
              </w:numPr>
              <w:spacing w:after="0" w:line="240" w:lineRule="auto"/>
            </w:pPr>
            <w:r w:rsidRPr="009F3D3E">
              <w:t>at any time, on the Commissioner’s own initiative; or</w:t>
            </w:r>
          </w:p>
          <w:p w14:paraId="35227AA6" w14:textId="77777777" w:rsidR="00030303" w:rsidRPr="009F3D3E" w:rsidRDefault="00030303" w:rsidP="00030303">
            <w:pPr>
              <w:numPr>
                <w:ilvl w:val="0"/>
                <w:numId w:val="22"/>
              </w:numPr>
              <w:spacing w:after="0" w:line="240" w:lineRule="auto"/>
            </w:pPr>
            <w:r w:rsidRPr="009F3D3E">
              <w:t>on application by the provider under section 73M.</w:t>
            </w:r>
          </w:p>
          <w:p w14:paraId="06C811FE" w14:textId="77777777" w:rsidR="00030303" w:rsidRPr="009F3D3E" w:rsidRDefault="00030303" w:rsidP="00030303"/>
          <w:p w14:paraId="4466EF07" w14:textId="77777777" w:rsidR="00030303" w:rsidRPr="009F3D3E" w:rsidRDefault="00030303" w:rsidP="00030303">
            <w:r w:rsidRPr="009F3D3E">
              <w:t>The Commissioner may vary the registration of a registered NDIS provider if the Commissioner considers it appropriate in all the circumstances to do so</w:t>
            </w:r>
            <w:r>
              <w:t xml:space="preserve"> </w:t>
            </w:r>
            <w:r w:rsidRPr="009F3D3E">
              <w:t>(s</w:t>
            </w:r>
            <w:r>
              <w:t> </w:t>
            </w:r>
            <w:r w:rsidRPr="009F3D3E">
              <w:t>73</w:t>
            </w:r>
            <w:proofErr w:type="gramStart"/>
            <w:r w:rsidRPr="009F3D3E">
              <w:t>L</w:t>
            </w:r>
            <w:r>
              <w:t>(</w:t>
            </w:r>
            <w:proofErr w:type="gramEnd"/>
            <w:r>
              <w:t>2)</w:t>
            </w:r>
            <w:r w:rsidRPr="009F3D3E">
              <w:t>).</w:t>
            </w:r>
          </w:p>
          <w:p w14:paraId="3BECAA66" w14:textId="77777777" w:rsidR="00030303" w:rsidRPr="009F3D3E" w:rsidRDefault="00030303" w:rsidP="00030303"/>
          <w:p w14:paraId="0151D025" w14:textId="77777777" w:rsidR="00030303" w:rsidRPr="009F3D3E" w:rsidRDefault="00030303" w:rsidP="00030303">
            <w:r w:rsidRPr="009F3D3E">
              <w:t>The Commissioner may vary the registration of an NDIS provider to</w:t>
            </w:r>
            <w:r>
              <w:t xml:space="preserve"> (</w:t>
            </w:r>
            <w:r w:rsidRPr="009F3D3E">
              <w:t>s</w:t>
            </w:r>
            <w:r>
              <w:t xml:space="preserve"> </w:t>
            </w:r>
            <w:r w:rsidRPr="009F3D3E">
              <w:t>73</w:t>
            </w:r>
            <w:proofErr w:type="gramStart"/>
            <w:r w:rsidRPr="009F3D3E">
              <w:t>L</w:t>
            </w:r>
            <w:r>
              <w:t>(</w:t>
            </w:r>
            <w:proofErr w:type="gramEnd"/>
            <w:r>
              <w:t>3)</w:t>
            </w:r>
            <w:r w:rsidRPr="009F3D3E">
              <w:t>):</w:t>
            </w:r>
          </w:p>
          <w:p w14:paraId="3AAABAB0" w14:textId="77777777" w:rsidR="00030303" w:rsidRPr="009F3D3E" w:rsidRDefault="00030303" w:rsidP="00030303">
            <w:pPr>
              <w:numPr>
                <w:ilvl w:val="0"/>
                <w:numId w:val="22"/>
              </w:numPr>
              <w:spacing w:after="0" w:line="240" w:lineRule="auto"/>
            </w:pPr>
            <w:r w:rsidRPr="009F3D3E">
              <w:t>impose, vary or revoke conditions to which the registration is subject under section 73G; or</w:t>
            </w:r>
          </w:p>
          <w:p w14:paraId="42C8C1F6" w14:textId="77777777" w:rsidR="00030303" w:rsidRPr="009F3D3E" w:rsidRDefault="00030303" w:rsidP="00030303">
            <w:pPr>
              <w:numPr>
                <w:ilvl w:val="0"/>
                <w:numId w:val="22"/>
              </w:numPr>
              <w:spacing w:after="0" w:line="240" w:lineRule="auto"/>
            </w:pPr>
            <w:r w:rsidRPr="009F3D3E">
              <w:t>reduce or extend the period for which the registration is in force; or</w:t>
            </w:r>
          </w:p>
          <w:p w14:paraId="2AC5DF5F" w14:textId="77777777" w:rsidR="00030303" w:rsidRPr="009F3D3E" w:rsidRDefault="00030303" w:rsidP="00030303">
            <w:pPr>
              <w:numPr>
                <w:ilvl w:val="0"/>
                <w:numId w:val="22"/>
              </w:numPr>
              <w:spacing w:after="0" w:line="240" w:lineRule="auto"/>
            </w:pPr>
            <w:r w:rsidRPr="009F3D3E">
              <w:t>extend, modify or reduce the supports or services the provider is registered to provide.</w:t>
            </w:r>
          </w:p>
        </w:tc>
      </w:tr>
      <w:tr w:rsidR="00030303" w:rsidRPr="009F3D3E" w14:paraId="0E74B334" w14:textId="77777777" w:rsidTr="00030303">
        <w:trPr>
          <w:trHeight w:val="8308"/>
        </w:trPr>
        <w:tc>
          <w:tcPr>
            <w:tcW w:w="2394" w:type="dxa"/>
            <w:tcBorders>
              <w:top w:val="single" w:sz="4" w:space="0" w:color="auto"/>
              <w:left w:val="single" w:sz="4" w:space="0" w:color="auto"/>
              <w:bottom w:val="single" w:sz="4" w:space="0" w:color="auto"/>
              <w:right w:val="single" w:sz="4" w:space="0" w:color="auto"/>
            </w:tcBorders>
          </w:tcPr>
          <w:p w14:paraId="0459ED33" w14:textId="77777777" w:rsidR="00030303" w:rsidRPr="009F3D3E" w:rsidRDefault="00030303" w:rsidP="00030303">
            <w:pPr>
              <w:rPr>
                <w:b/>
              </w:rPr>
            </w:pPr>
            <w:r w:rsidRPr="009F3D3E">
              <w:rPr>
                <w:b/>
              </w:rPr>
              <w:lastRenderedPageBreak/>
              <w:t>Suspension of registration</w:t>
            </w:r>
          </w:p>
        </w:tc>
        <w:tc>
          <w:tcPr>
            <w:tcW w:w="8516" w:type="dxa"/>
            <w:tcBorders>
              <w:top w:val="single" w:sz="4" w:space="0" w:color="auto"/>
              <w:left w:val="single" w:sz="4" w:space="0" w:color="auto"/>
              <w:bottom w:val="single" w:sz="4" w:space="0" w:color="auto"/>
              <w:right w:val="single" w:sz="4" w:space="0" w:color="auto"/>
            </w:tcBorders>
          </w:tcPr>
          <w:p w14:paraId="08ED76DA" w14:textId="77777777" w:rsidR="00030303" w:rsidRPr="009F3D3E" w:rsidRDefault="00030303" w:rsidP="00030303">
            <w:pPr>
              <w:rPr>
                <w:i/>
              </w:rPr>
            </w:pPr>
            <w:r w:rsidRPr="009F3D3E">
              <w:rPr>
                <w:i/>
              </w:rPr>
              <w:t>Suspension on Commissioner’s own initiative</w:t>
            </w:r>
          </w:p>
          <w:p w14:paraId="18F53AF3" w14:textId="77777777" w:rsidR="00030303" w:rsidRPr="00321833" w:rsidRDefault="00030303" w:rsidP="00030303">
            <w:pPr>
              <w:rPr>
                <w:b/>
              </w:rPr>
            </w:pPr>
            <w:r w:rsidRPr="009F3D3E">
              <w:t>The Commissioner may, in writing, suspend the registration of a person as a registered NDIS provider for a specified period if</w:t>
            </w:r>
            <w:r>
              <w:t xml:space="preserve"> (s 73</w:t>
            </w:r>
            <w:proofErr w:type="gramStart"/>
            <w:r>
              <w:t>N(</w:t>
            </w:r>
            <w:proofErr w:type="gramEnd"/>
            <w:r>
              <w:t>1):</w:t>
            </w:r>
          </w:p>
          <w:p w14:paraId="12E34722" w14:textId="77777777" w:rsidR="00030303" w:rsidRPr="009F3D3E" w:rsidRDefault="00030303" w:rsidP="00030303">
            <w:pPr>
              <w:numPr>
                <w:ilvl w:val="0"/>
                <w:numId w:val="23"/>
              </w:numPr>
              <w:spacing w:after="0" w:line="240" w:lineRule="auto"/>
            </w:pPr>
            <w:r w:rsidRPr="009F3D3E">
              <w:t>the Commissioner reasonably believes that the person has contravened, is contravening, or is proposing to contravene, this Act; or</w:t>
            </w:r>
          </w:p>
          <w:p w14:paraId="342CA870" w14:textId="77777777" w:rsidR="00030303" w:rsidRPr="009F3D3E" w:rsidRDefault="00030303" w:rsidP="00030303">
            <w:pPr>
              <w:numPr>
                <w:ilvl w:val="0"/>
                <w:numId w:val="23"/>
              </w:numPr>
              <w:spacing w:after="0" w:line="240" w:lineRule="auto"/>
            </w:pPr>
            <w:r w:rsidRPr="009F3D3E">
              <w:t>the Commissioner reasonably believes that the application for registration by the person contained information that was false or misleading in a material particular; or</w:t>
            </w:r>
          </w:p>
          <w:p w14:paraId="3046964C" w14:textId="77777777" w:rsidR="00030303" w:rsidRPr="009F3D3E" w:rsidRDefault="00030303" w:rsidP="00030303">
            <w:pPr>
              <w:numPr>
                <w:ilvl w:val="0"/>
                <w:numId w:val="23"/>
              </w:numPr>
              <w:spacing w:after="0" w:line="240" w:lineRule="auto"/>
            </w:pPr>
            <w:r w:rsidRPr="009F3D3E">
              <w:t>the person is an insolvent under administration; or</w:t>
            </w:r>
          </w:p>
          <w:p w14:paraId="1F00B1A3" w14:textId="77777777" w:rsidR="00030303" w:rsidRPr="009F3D3E" w:rsidRDefault="00030303" w:rsidP="00030303">
            <w:pPr>
              <w:numPr>
                <w:ilvl w:val="0"/>
                <w:numId w:val="23"/>
              </w:numPr>
              <w:spacing w:after="0" w:line="240" w:lineRule="auto"/>
            </w:pPr>
            <w:r w:rsidRPr="009F3D3E">
              <w:t>the Commissioner is satisfied that the person is no longer suitable to provide the supports or services to people with disability, having regard to any matters prescribed by the National Disability Insurance Scheme rules for the purposes of this paragraph; or</w:t>
            </w:r>
          </w:p>
          <w:p w14:paraId="78AB6D63" w14:textId="77777777" w:rsidR="00030303" w:rsidRPr="009F3D3E" w:rsidRDefault="00030303" w:rsidP="00030303">
            <w:pPr>
              <w:numPr>
                <w:ilvl w:val="0"/>
                <w:numId w:val="23"/>
              </w:numPr>
              <w:spacing w:after="0" w:line="240" w:lineRule="auto"/>
            </w:pPr>
            <w:r w:rsidRPr="009F3D3E">
              <w:t>the Commissioner is no longer satisfied that the key personnel of the person (if any) are suitable to be involved in the provision of supports or services to people with disability, having regard to any matters prescribed by the National Disability Insurance Scheme rules for the purposes of this paragraph; or</w:t>
            </w:r>
          </w:p>
          <w:p w14:paraId="6390717D" w14:textId="77777777" w:rsidR="00030303" w:rsidRPr="009F3D3E" w:rsidRDefault="00030303" w:rsidP="00030303">
            <w:pPr>
              <w:numPr>
                <w:ilvl w:val="0"/>
                <w:numId w:val="23"/>
              </w:numPr>
              <w:spacing w:after="0" w:line="240" w:lineRule="auto"/>
            </w:pPr>
            <w:r w:rsidRPr="009F3D3E">
              <w:t>a circumstance exists that is a circumstance prescribed by National Disability Insurance Scheme rules for the purposes of this paragraph.</w:t>
            </w:r>
          </w:p>
          <w:p w14:paraId="375EB26F" w14:textId="77777777" w:rsidR="00030303" w:rsidRPr="009F3D3E" w:rsidRDefault="00030303" w:rsidP="00030303"/>
          <w:p w14:paraId="46F026FD" w14:textId="77777777" w:rsidR="00030303" w:rsidRPr="009F3D3E" w:rsidRDefault="00030303" w:rsidP="00030303">
            <w:r w:rsidRPr="009F3D3E">
              <w:t>The period specified by the Commissioner must not be longer than 30 days</w:t>
            </w:r>
            <w:r>
              <w:t xml:space="preserve"> (</w:t>
            </w:r>
            <w:r w:rsidRPr="009F3D3E">
              <w:t>s</w:t>
            </w:r>
            <w:r>
              <w:t> </w:t>
            </w:r>
            <w:r w:rsidRPr="009F3D3E">
              <w:t>73</w:t>
            </w:r>
            <w:proofErr w:type="gramStart"/>
            <w:r w:rsidRPr="009F3D3E">
              <w:t>N(</w:t>
            </w:r>
            <w:proofErr w:type="gramEnd"/>
            <w:r w:rsidRPr="009F3D3E">
              <w:t>2). This does not prevent the Commissioner suspending the registration of a person as a registered provider more than once</w:t>
            </w:r>
            <w:r>
              <w:t xml:space="preserve"> (s</w:t>
            </w:r>
            <w:r w:rsidRPr="009F3D3E">
              <w:t> 73</w:t>
            </w:r>
            <w:proofErr w:type="gramStart"/>
            <w:r w:rsidRPr="009F3D3E">
              <w:t>N(</w:t>
            </w:r>
            <w:proofErr w:type="gramEnd"/>
            <w:r w:rsidRPr="009F3D3E">
              <w:t>3)</w:t>
            </w:r>
            <w:r>
              <w:t>)</w:t>
            </w:r>
            <w:r w:rsidRPr="009F3D3E">
              <w:t>.</w:t>
            </w:r>
          </w:p>
          <w:p w14:paraId="06148983" w14:textId="77777777" w:rsidR="00030303" w:rsidRPr="009F3D3E" w:rsidRDefault="00030303" w:rsidP="00030303"/>
          <w:p w14:paraId="5CEC12A5" w14:textId="77777777" w:rsidR="00030303" w:rsidRPr="009F3D3E" w:rsidRDefault="00030303" w:rsidP="00030303">
            <w:r w:rsidRPr="009F3D3E">
              <w:lastRenderedPageBreak/>
              <w:t>In deciding whether to suspend the registration of a person under subsection (1), the Commissioner must have regard to the following matters:</w:t>
            </w:r>
          </w:p>
          <w:p w14:paraId="67943CA6" w14:textId="77777777" w:rsidR="00030303" w:rsidRPr="009F3D3E" w:rsidRDefault="00030303" w:rsidP="00030303">
            <w:pPr>
              <w:numPr>
                <w:ilvl w:val="0"/>
                <w:numId w:val="23"/>
              </w:numPr>
              <w:spacing w:after="0" w:line="240" w:lineRule="auto"/>
            </w:pPr>
            <w:r w:rsidRPr="009F3D3E">
              <w:t>the nature, significance and persistence of any contravention, or proposed contravention, of this Act;</w:t>
            </w:r>
          </w:p>
          <w:p w14:paraId="3CE79E0C" w14:textId="77777777" w:rsidR="00030303" w:rsidRPr="009F3D3E" w:rsidRDefault="00030303" w:rsidP="00030303">
            <w:pPr>
              <w:numPr>
                <w:ilvl w:val="0"/>
                <w:numId w:val="23"/>
              </w:numPr>
              <w:spacing w:after="0" w:line="240" w:lineRule="auto"/>
            </w:pPr>
            <w:r w:rsidRPr="009F3D3E">
              <w:t>action that can be taken to address any contravention, or proposed contravention, of this Act;</w:t>
            </w:r>
          </w:p>
          <w:p w14:paraId="1CA701DC" w14:textId="77777777" w:rsidR="00030303" w:rsidRPr="009F3D3E" w:rsidRDefault="00030303" w:rsidP="00030303">
            <w:pPr>
              <w:numPr>
                <w:ilvl w:val="0"/>
                <w:numId w:val="23"/>
              </w:numPr>
              <w:spacing w:after="0" w:line="240" w:lineRule="auto"/>
            </w:pPr>
            <w:r w:rsidRPr="009F3D3E">
              <w:t>the extent (if any) to which the person is conducting its affairs as a registered NDIS provider in a way that may cause harm to, or jeopardise, public trust in the National Disability Insurance Scheme;</w:t>
            </w:r>
          </w:p>
          <w:p w14:paraId="4DFF240C" w14:textId="77777777" w:rsidR="00030303" w:rsidRPr="009F3D3E" w:rsidRDefault="00030303" w:rsidP="00030303">
            <w:pPr>
              <w:numPr>
                <w:ilvl w:val="0"/>
                <w:numId w:val="23"/>
              </w:numPr>
              <w:spacing w:after="0" w:line="240" w:lineRule="auto"/>
            </w:pPr>
            <w:r w:rsidRPr="009F3D3E">
              <w:t>the health, safety or wellbeing of people with disability receiving supports or services from the person;</w:t>
            </w:r>
          </w:p>
          <w:p w14:paraId="5016B301" w14:textId="77777777" w:rsidR="00030303" w:rsidRPr="009F3D3E" w:rsidRDefault="00030303" w:rsidP="00030303">
            <w:pPr>
              <w:numPr>
                <w:ilvl w:val="0"/>
                <w:numId w:val="23"/>
              </w:numPr>
              <w:spacing w:after="0" w:line="240" w:lineRule="auto"/>
            </w:pPr>
            <w:r w:rsidRPr="009F3D3E">
              <w:t>any other matter the Commissioner considers relevant.</w:t>
            </w:r>
          </w:p>
          <w:p w14:paraId="11DE149E" w14:textId="77777777" w:rsidR="00030303" w:rsidRPr="009F3D3E" w:rsidRDefault="00030303" w:rsidP="00030303"/>
          <w:p w14:paraId="0FC9B06B" w14:textId="77777777" w:rsidR="00030303" w:rsidRPr="009F3D3E" w:rsidRDefault="00030303" w:rsidP="00030303">
            <w:pPr>
              <w:rPr>
                <w:i/>
              </w:rPr>
            </w:pPr>
            <w:r w:rsidRPr="009F3D3E">
              <w:rPr>
                <w:i/>
              </w:rPr>
              <w:t>Effect of suspension</w:t>
            </w:r>
          </w:p>
          <w:p w14:paraId="4781A321" w14:textId="77777777" w:rsidR="00030303" w:rsidRPr="009F3D3E" w:rsidRDefault="00030303" w:rsidP="00030303"/>
          <w:p w14:paraId="535C13E9" w14:textId="77777777" w:rsidR="00030303" w:rsidRPr="009F3D3E" w:rsidRDefault="00030303" w:rsidP="00030303">
            <w:r w:rsidRPr="009F3D3E">
              <w:t xml:space="preserve">If the registration of a person is suspended under this section, the registration ceases to have effect until the suspension ceases to be in force </w:t>
            </w:r>
            <w:r>
              <w:t>(</w:t>
            </w:r>
            <w:r w:rsidRPr="009F3D3E">
              <w:t>s 73</w:t>
            </w:r>
            <w:proofErr w:type="gramStart"/>
            <w:r w:rsidRPr="009F3D3E">
              <w:t>N(</w:t>
            </w:r>
            <w:proofErr w:type="gramEnd"/>
            <w:r w:rsidRPr="009F3D3E">
              <w:t>7)</w:t>
            </w:r>
            <w:r>
              <w:t>)</w:t>
            </w:r>
            <w:r w:rsidRPr="009F3D3E">
              <w:t>.</w:t>
            </w:r>
          </w:p>
        </w:tc>
      </w:tr>
      <w:tr w:rsidR="00030303" w:rsidRPr="009F3D3E" w14:paraId="0B7EFE9C" w14:textId="77777777" w:rsidTr="00030303">
        <w:trPr>
          <w:trHeight w:val="5354"/>
        </w:trPr>
        <w:tc>
          <w:tcPr>
            <w:tcW w:w="2394" w:type="dxa"/>
            <w:tcBorders>
              <w:top w:val="single" w:sz="4" w:space="0" w:color="auto"/>
              <w:left w:val="single" w:sz="4" w:space="0" w:color="auto"/>
              <w:bottom w:val="single" w:sz="4" w:space="0" w:color="auto"/>
              <w:right w:val="single" w:sz="4" w:space="0" w:color="auto"/>
            </w:tcBorders>
          </w:tcPr>
          <w:p w14:paraId="2E0B9866" w14:textId="77777777" w:rsidR="00030303" w:rsidRPr="009F3D3E" w:rsidRDefault="00030303" w:rsidP="00030303">
            <w:pPr>
              <w:rPr>
                <w:b/>
              </w:rPr>
            </w:pPr>
            <w:r w:rsidRPr="009F3D3E">
              <w:rPr>
                <w:b/>
              </w:rPr>
              <w:lastRenderedPageBreak/>
              <w:t>Revocation of registration</w:t>
            </w:r>
          </w:p>
        </w:tc>
        <w:tc>
          <w:tcPr>
            <w:tcW w:w="8516" w:type="dxa"/>
            <w:tcBorders>
              <w:top w:val="single" w:sz="4" w:space="0" w:color="auto"/>
              <w:left w:val="single" w:sz="4" w:space="0" w:color="auto"/>
              <w:bottom w:val="single" w:sz="4" w:space="0" w:color="auto"/>
              <w:right w:val="single" w:sz="4" w:space="0" w:color="auto"/>
            </w:tcBorders>
          </w:tcPr>
          <w:p w14:paraId="0DE257FA" w14:textId="77777777" w:rsidR="00030303" w:rsidRPr="009F3D3E" w:rsidRDefault="00030303" w:rsidP="00030303">
            <w:r w:rsidRPr="009F3D3E">
              <w:t>The Commissioner may, in writing, revoke the registration of a person as a registered NDIS provider if</w:t>
            </w:r>
            <w:r>
              <w:t xml:space="preserve"> (s 73</w:t>
            </w:r>
            <w:proofErr w:type="gramStart"/>
            <w:r>
              <w:t>P(</w:t>
            </w:r>
            <w:proofErr w:type="gramEnd"/>
            <w:r>
              <w:t>1))</w:t>
            </w:r>
            <w:r w:rsidRPr="009F3D3E">
              <w:t>:</w:t>
            </w:r>
          </w:p>
          <w:p w14:paraId="3F55B9E8" w14:textId="77777777" w:rsidR="00030303" w:rsidRPr="009F3D3E" w:rsidRDefault="00030303" w:rsidP="00030303"/>
          <w:p w14:paraId="56C9D9F0" w14:textId="77777777" w:rsidR="00030303" w:rsidRPr="009F3D3E" w:rsidRDefault="00030303" w:rsidP="00030303">
            <w:pPr>
              <w:numPr>
                <w:ilvl w:val="0"/>
                <w:numId w:val="23"/>
              </w:numPr>
              <w:spacing w:after="0" w:line="240" w:lineRule="auto"/>
            </w:pPr>
            <w:r w:rsidRPr="009F3D3E">
              <w:t>the Commissioner reasonably believes that the person has contravened, is contravening, or is proposing to contravene, this Act; or</w:t>
            </w:r>
          </w:p>
          <w:p w14:paraId="18BAB22B" w14:textId="77777777" w:rsidR="00030303" w:rsidRPr="009F3D3E" w:rsidRDefault="00030303" w:rsidP="00030303">
            <w:pPr>
              <w:numPr>
                <w:ilvl w:val="0"/>
                <w:numId w:val="23"/>
              </w:numPr>
              <w:spacing w:after="0" w:line="240" w:lineRule="auto"/>
            </w:pPr>
            <w:r w:rsidRPr="009F3D3E">
              <w:t>the Commissioner reasonably believes that the application for registration by the person contained information that was false or misleading in a material particular; or</w:t>
            </w:r>
          </w:p>
          <w:p w14:paraId="4D51D743" w14:textId="77777777" w:rsidR="00030303" w:rsidRPr="009F3D3E" w:rsidRDefault="00030303" w:rsidP="00030303">
            <w:pPr>
              <w:numPr>
                <w:ilvl w:val="0"/>
                <w:numId w:val="23"/>
              </w:numPr>
              <w:spacing w:after="0" w:line="240" w:lineRule="auto"/>
            </w:pPr>
            <w:r w:rsidRPr="009F3D3E">
              <w:t>the person is an insolvent under administration; or</w:t>
            </w:r>
          </w:p>
          <w:p w14:paraId="57BC15A8" w14:textId="77777777" w:rsidR="00030303" w:rsidRPr="009F3D3E" w:rsidRDefault="00030303" w:rsidP="00030303">
            <w:pPr>
              <w:numPr>
                <w:ilvl w:val="0"/>
                <w:numId w:val="23"/>
              </w:numPr>
              <w:spacing w:after="0" w:line="240" w:lineRule="auto"/>
            </w:pPr>
            <w:r w:rsidRPr="009F3D3E">
              <w:t>the Commissioner is satisfied that the person is no longer suitable to provide the supports or services to people with disability, having regard to any matters prescribed by the National Disability Insurance Scheme rules for the purposes of this paragraph; or</w:t>
            </w:r>
          </w:p>
          <w:p w14:paraId="6597B295" w14:textId="77777777" w:rsidR="00030303" w:rsidRPr="009F3D3E" w:rsidRDefault="00030303" w:rsidP="00030303">
            <w:pPr>
              <w:numPr>
                <w:ilvl w:val="0"/>
                <w:numId w:val="23"/>
              </w:numPr>
              <w:spacing w:after="0" w:line="240" w:lineRule="auto"/>
            </w:pPr>
            <w:r w:rsidRPr="009F3D3E">
              <w:t>the Commissioner is no longer satisfied that the key personnel of the person (if any) are suitable to be involved in the provision of supports or services to people with disability, having regard to any matters prescribed by the National Disability Insurance Scheme rules for the purposes of this paragraph; or</w:t>
            </w:r>
          </w:p>
          <w:p w14:paraId="07AAF532" w14:textId="77777777" w:rsidR="00030303" w:rsidRPr="009F3D3E" w:rsidRDefault="00030303" w:rsidP="00030303">
            <w:pPr>
              <w:numPr>
                <w:ilvl w:val="0"/>
                <w:numId w:val="23"/>
              </w:numPr>
              <w:spacing w:after="0" w:line="240" w:lineRule="auto"/>
            </w:pPr>
            <w:r w:rsidRPr="009F3D3E">
              <w:t>a circumstance exists that is a circumstance prescribed by National Disability Insurance Scheme rules for the purposes of this paragraph.</w:t>
            </w:r>
          </w:p>
          <w:p w14:paraId="448D2454" w14:textId="77777777" w:rsidR="00030303" w:rsidRPr="009F3D3E" w:rsidRDefault="00030303" w:rsidP="00030303"/>
          <w:p w14:paraId="75B787F3" w14:textId="77777777" w:rsidR="00030303" w:rsidRPr="009F3D3E" w:rsidRDefault="00030303" w:rsidP="00030303">
            <w:r w:rsidRPr="009F3D3E">
              <w:t>In deciding whether to revoke the registration of a person, the Commissioner must have regard to the following matters</w:t>
            </w:r>
            <w:r>
              <w:t xml:space="preserve"> (s 73</w:t>
            </w:r>
            <w:proofErr w:type="gramStart"/>
            <w:r>
              <w:t>P(</w:t>
            </w:r>
            <w:proofErr w:type="gramEnd"/>
            <w:r>
              <w:t>2))</w:t>
            </w:r>
            <w:r w:rsidRPr="009F3D3E">
              <w:t>:</w:t>
            </w:r>
          </w:p>
          <w:p w14:paraId="1CE76286" w14:textId="77777777" w:rsidR="00030303" w:rsidRPr="009F3D3E" w:rsidRDefault="00030303" w:rsidP="00030303">
            <w:pPr>
              <w:numPr>
                <w:ilvl w:val="0"/>
                <w:numId w:val="23"/>
              </w:numPr>
              <w:spacing w:after="0" w:line="240" w:lineRule="auto"/>
            </w:pPr>
            <w:r w:rsidRPr="009F3D3E">
              <w:t>the nature, significance and persistence of any contravention, or proposed contravention, of this Act;</w:t>
            </w:r>
          </w:p>
          <w:p w14:paraId="73BB8239" w14:textId="77777777" w:rsidR="00030303" w:rsidRPr="009F3D3E" w:rsidRDefault="00030303" w:rsidP="00030303">
            <w:pPr>
              <w:numPr>
                <w:ilvl w:val="0"/>
                <w:numId w:val="23"/>
              </w:numPr>
              <w:spacing w:after="0" w:line="240" w:lineRule="auto"/>
            </w:pPr>
            <w:r w:rsidRPr="009F3D3E">
              <w:t>action that can be taken to address any contravention, or proposed contravention, of this Act;</w:t>
            </w:r>
          </w:p>
          <w:p w14:paraId="7B7FB2D9" w14:textId="77777777" w:rsidR="00030303" w:rsidRPr="009F3D3E" w:rsidRDefault="00030303" w:rsidP="00030303">
            <w:pPr>
              <w:numPr>
                <w:ilvl w:val="0"/>
                <w:numId w:val="23"/>
              </w:numPr>
              <w:spacing w:after="0" w:line="240" w:lineRule="auto"/>
            </w:pPr>
            <w:r w:rsidRPr="009F3D3E">
              <w:lastRenderedPageBreak/>
              <w:t>the extent (if any) to which the person is conducting its affairs as a registered NDIS provider in a way that may cause harm to, or jeopardise, public trust in the National Disability Insurance Scheme;</w:t>
            </w:r>
          </w:p>
          <w:p w14:paraId="6CFD2FA2" w14:textId="77777777" w:rsidR="00030303" w:rsidRPr="009F3D3E" w:rsidRDefault="00030303" w:rsidP="00030303">
            <w:pPr>
              <w:numPr>
                <w:ilvl w:val="0"/>
                <w:numId w:val="23"/>
              </w:numPr>
              <w:spacing w:after="0" w:line="240" w:lineRule="auto"/>
            </w:pPr>
            <w:r w:rsidRPr="009F3D3E">
              <w:t>the health, safety or wellbeing of people with disability receiving supports or services from the person;</w:t>
            </w:r>
            <w:r>
              <w:t xml:space="preserve"> and</w:t>
            </w:r>
          </w:p>
          <w:p w14:paraId="48193CFB" w14:textId="77777777" w:rsidR="00030303" w:rsidRPr="009F3D3E" w:rsidRDefault="00030303" w:rsidP="00030303">
            <w:pPr>
              <w:numPr>
                <w:ilvl w:val="0"/>
                <w:numId w:val="23"/>
              </w:numPr>
              <w:spacing w:after="0" w:line="240" w:lineRule="auto"/>
            </w:pPr>
            <w:r w:rsidRPr="009F3D3E">
              <w:t>any other matter the Commissioner considers relevant.</w:t>
            </w:r>
          </w:p>
          <w:p w14:paraId="0B454F04" w14:textId="77777777" w:rsidR="00030303" w:rsidRPr="009F3D3E" w:rsidRDefault="00030303" w:rsidP="00030303"/>
          <w:p w14:paraId="7CF4FA28" w14:textId="77777777" w:rsidR="00030303" w:rsidRPr="009F3D3E" w:rsidRDefault="00030303" w:rsidP="00030303">
            <w:r w:rsidRPr="009F3D3E">
              <w:t>Before deciding to revoke the registration of a person, the Commissioner must notify the person that revocation is being considered. The notice must be in writing and must</w:t>
            </w:r>
            <w:r>
              <w:t xml:space="preserve"> (s 73</w:t>
            </w:r>
            <w:proofErr w:type="gramStart"/>
            <w:r>
              <w:t>P(</w:t>
            </w:r>
            <w:proofErr w:type="gramEnd"/>
            <w:r>
              <w:t>4))</w:t>
            </w:r>
            <w:r w:rsidRPr="009F3D3E">
              <w:t>:</w:t>
            </w:r>
          </w:p>
          <w:p w14:paraId="5D2DC917" w14:textId="77777777" w:rsidR="00030303" w:rsidRPr="009F3D3E" w:rsidRDefault="00030303" w:rsidP="00030303">
            <w:pPr>
              <w:numPr>
                <w:ilvl w:val="0"/>
                <w:numId w:val="23"/>
              </w:numPr>
              <w:spacing w:after="0" w:line="240" w:lineRule="auto"/>
            </w:pPr>
            <w:r w:rsidRPr="009F3D3E">
              <w:t>include the Commissioner’s reasons for considering the revocation; and</w:t>
            </w:r>
          </w:p>
          <w:p w14:paraId="40885B3C" w14:textId="77777777" w:rsidR="00030303" w:rsidRPr="009F3D3E" w:rsidRDefault="00030303" w:rsidP="00030303">
            <w:pPr>
              <w:numPr>
                <w:ilvl w:val="0"/>
                <w:numId w:val="23"/>
              </w:numPr>
              <w:spacing w:after="0" w:line="240" w:lineRule="auto"/>
            </w:pPr>
            <w:r w:rsidRPr="009F3D3E">
              <w:t>invite the person to make submissions, in writing, to the Commissioner within the period specified in the notice (which must not be less than 28 days); and</w:t>
            </w:r>
          </w:p>
          <w:p w14:paraId="4A20EB82" w14:textId="77777777" w:rsidR="00030303" w:rsidRPr="009F3D3E" w:rsidRDefault="00030303" w:rsidP="00030303">
            <w:pPr>
              <w:numPr>
                <w:ilvl w:val="0"/>
                <w:numId w:val="23"/>
              </w:numPr>
              <w:spacing w:after="0" w:line="240" w:lineRule="auto"/>
            </w:pPr>
            <w:r w:rsidRPr="009F3D3E">
              <w:t>inform the person that if no submissions are made within the period specified in the notice, any revocation may take effect as early as 7 days after the end of the period specified in the notice.</w:t>
            </w:r>
          </w:p>
          <w:p w14:paraId="6BF7A47A" w14:textId="77777777" w:rsidR="00030303" w:rsidRPr="009F3D3E" w:rsidRDefault="00030303" w:rsidP="00030303"/>
          <w:p w14:paraId="166DDCC0" w14:textId="77777777" w:rsidR="00030303" w:rsidRPr="009F3D3E" w:rsidRDefault="00030303" w:rsidP="00030303">
            <w:r w:rsidRPr="009F3D3E">
              <w:t xml:space="preserve">In deciding whether to revoke the registration, the Commissioner must consider any submissions given to the Commissioner within the period specified in the notice </w:t>
            </w:r>
            <w:r>
              <w:t>(</w:t>
            </w:r>
            <w:r w:rsidRPr="009F3D3E">
              <w:t>s 73</w:t>
            </w:r>
            <w:proofErr w:type="gramStart"/>
            <w:r w:rsidRPr="009F3D3E">
              <w:t>P(</w:t>
            </w:r>
            <w:proofErr w:type="gramEnd"/>
            <w:r w:rsidRPr="009F3D3E">
              <w:t>5)</w:t>
            </w:r>
            <w:r>
              <w:t>)</w:t>
            </w:r>
            <w:r w:rsidRPr="009F3D3E">
              <w:t>.</w:t>
            </w:r>
          </w:p>
          <w:p w14:paraId="0FBA721E" w14:textId="77777777" w:rsidR="00030303" w:rsidRPr="009F3D3E" w:rsidRDefault="00030303" w:rsidP="00030303"/>
          <w:p w14:paraId="294C1C3A" w14:textId="1314A7EE" w:rsidR="00030303" w:rsidRPr="00697284" w:rsidRDefault="00030303" w:rsidP="00697284">
            <w:r w:rsidRPr="009F3D3E">
              <w:t>The Commissioner must notify the person, in writing, of the decision</w:t>
            </w:r>
            <w:r>
              <w:t xml:space="preserve"> (</w:t>
            </w:r>
            <w:r w:rsidRPr="009F3D3E">
              <w:t>s 73</w:t>
            </w:r>
            <w:proofErr w:type="gramStart"/>
            <w:r w:rsidRPr="009F3D3E">
              <w:t>P(</w:t>
            </w:r>
            <w:proofErr w:type="gramEnd"/>
            <w:r w:rsidRPr="009F3D3E">
              <w:t>6</w:t>
            </w:r>
            <w:r>
              <w:t>)</w:t>
            </w:r>
            <w:r w:rsidRPr="009F3D3E">
              <w:t xml:space="preserve">). The notice of the decision must be given within 28 days after the end of the period for </w:t>
            </w:r>
            <w:r w:rsidRPr="009F3D3E">
              <w:lastRenderedPageBreak/>
              <w:t xml:space="preserve">making submissions. If the notice is not given within this period, the Commissioner is taken to have decided not to revoke the registration </w:t>
            </w:r>
            <w:r>
              <w:t>(</w:t>
            </w:r>
            <w:r w:rsidRPr="009F3D3E">
              <w:t>s 73</w:t>
            </w:r>
            <w:proofErr w:type="gramStart"/>
            <w:r w:rsidRPr="009F3D3E">
              <w:t>P(</w:t>
            </w:r>
            <w:proofErr w:type="gramEnd"/>
            <w:r w:rsidRPr="009F3D3E">
              <w:t>7)</w:t>
            </w:r>
            <w:r>
              <w:t>)</w:t>
            </w:r>
            <w:r w:rsidRPr="009F3D3E">
              <w:t>.</w:t>
            </w:r>
          </w:p>
        </w:tc>
      </w:tr>
      <w:tr w:rsidR="00030303" w:rsidRPr="009F3D3E" w14:paraId="05A0674F" w14:textId="77777777" w:rsidTr="00030303">
        <w:trPr>
          <w:trHeight w:val="1449"/>
        </w:trPr>
        <w:tc>
          <w:tcPr>
            <w:tcW w:w="2394" w:type="dxa"/>
            <w:tcBorders>
              <w:top w:val="single" w:sz="4" w:space="0" w:color="auto"/>
              <w:left w:val="single" w:sz="4" w:space="0" w:color="auto"/>
              <w:bottom w:val="single" w:sz="4" w:space="0" w:color="auto"/>
              <w:right w:val="single" w:sz="4" w:space="0" w:color="auto"/>
            </w:tcBorders>
          </w:tcPr>
          <w:p w14:paraId="21FA68B0" w14:textId="77777777" w:rsidR="00030303" w:rsidRPr="009F3D3E" w:rsidRDefault="00030303" w:rsidP="00030303">
            <w:pPr>
              <w:rPr>
                <w:b/>
              </w:rPr>
            </w:pPr>
            <w:r>
              <w:rPr>
                <w:b/>
              </w:rPr>
              <w:lastRenderedPageBreak/>
              <w:t>NDIS Practice Standards</w:t>
            </w:r>
          </w:p>
        </w:tc>
        <w:tc>
          <w:tcPr>
            <w:tcW w:w="8516" w:type="dxa"/>
            <w:tcBorders>
              <w:top w:val="single" w:sz="4" w:space="0" w:color="auto"/>
              <w:left w:val="single" w:sz="4" w:space="0" w:color="auto"/>
              <w:bottom w:val="single" w:sz="4" w:space="0" w:color="auto"/>
              <w:right w:val="single" w:sz="4" w:space="0" w:color="auto"/>
            </w:tcBorders>
          </w:tcPr>
          <w:p w14:paraId="1E8EDC64" w14:textId="77777777" w:rsidR="00030303" w:rsidRDefault="00030303" w:rsidP="00030303">
            <w:r>
              <w:t xml:space="preserve">The </w:t>
            </w:r>
            <w:r w:rsidRPr="00ED2549">
              <w:rPr>
                <w:i/>
              </w:rPr>
              <w:t>National Disability Insurance Scheme (Provider Registration and Practice Standards) Rules 2018</w:t>
            </w:r>
            <w:r w:rsidRPr="00ED2549">
              <w:t xml:space="preserve"> </w:t>
            </w:r>
            <w:r>
              <w:t>provide for standards concerning the quality of supports or services to be provided by registered NDIS providers (s 73</w:t>
            </w:r>
            <w:proofErr w:type="gramStart"/>
            <w:r>
              <w:t>T(</w:t>
            </w:r>
            <w:proofErr w:type="gramEnd"/>
            <w:r>
              <w:t>1).</w:t>
            </w:r>
          </w:p>
          <w:p w14:paraId="69A9A17F" w14:textId="77777777" w:rsidR="00030303" w:rsidRDefault="00030303" w:rsidP="00030303"/>
          <w:p w14:paraId="2BA575AE" w14:textId="77777777" w:rsidR="00030303" w:rsidRPr="00EE4563" w:rsidRDefault="00030303" w:rsidP="00030303">
            <w:pPr>
              <w:rPr>
                <w:rFonts w:cstheme="minorHAnsi"/>
                <w:sz w:val="16"/>
                <w:szCs w:val="16"/>
              </w:rPr>
            </w:pPr>
            <w:r w:rsidRPr="00EE4563">
              <w:rPr>
                <w:rFonts w:cstheme="minorHAnsi"/>
                <w:sz w:val="16"/>
                <w:szCs w:val="16"/>
              </w:rPr>
              <w:t>Note: Non</w:t>
            </w:r>
            <w:r w:rsidRPr="00EE4563">
              <w:rPr>
                <w:rFonts w:ascii="Cambria Math" w:hAnsi="Cambria Math" w:cs="Cambria Math"/>
                <w:sz w:val="16"/>
                <w:szCs w:val="16"/>
              </w:rPr>
              <w:t>‑</w:t>
            </w:r>
            <w:r w:rsidRPr="00EE4563">
              <w:rPr>
                <w:rFonts w:cstheme="minorHAnsi"/>
                <w:sz w:val="16"/>
                <w:szCs w:val="16"/>
              </w:rPr>
              <w:t>compliance with the NDIS Practice Standards by registered NDIS providers constitutes a breach of condition of registration (see paragraph 73F(2)(c) and section 73J).</w:t>
            </w:r>
          </w:p>
        </w:tc>
      </w:tr>
      <w:tr w:rsidR="00030303" w:rsidRPr="009F3D3E" w14:paraId="36BE0F60" w14:textId="77777777" w:rsidTr="00030303">
        <w:trPr>
          <w:trHeight w:val="2926"/>
        </w:trPr>
        <w:tc>
          <w:tcPr>
            <w:tcW w:w="2394" w:type="dxa"/>
            <w:tcBorders>
              <w:top w:val="single" w:sz="4" w:space="0" w:color="auto"/>
              <w:left w:val="single" w:sz="4" w:space="0" w:color="auto"/>
              <w:bottom w:val="single" w:sz="4" w:space="0" w:color="auto"/>
              <w:right w:val="single" w:sz="4" w:space="0" w:color="auto"/>
            </w:tcBorders>
          </w:tcPr>
          <w:p w14:paraId="75A80608" w14:textId="77777777" w:rsidR="00030303" w:rsidRPr="009F3D3E" w:rsidRDefault="00030303" w:rsidP="00030303">
            <w:pPr>
              <w:rPr>
                <w:b/>
              </w:rPr>
            </w:pPr>
            <w:r>
              <w:rPr>
                <w:b/>
              </w:rPr>
              <w:lastRenderedPageBreak/>
              <w:t>NDIS Code of Conduct</w:t>
            </w:r>
          </w:p>
        </w:tc>
        <w:tc>
          <w:tcPr>
            <w:tcW w:w="8516" w:type="dxa"/>
            <w:tcBorders>
              <w:top w:val="single" w:sz="4" w:space="0" w:color="auto"/>
              <w:left w:val="single" w:sz="4" w:space="0" w:color="auto"/>
              <w:bottom w:val="single" w:sz="4" w:space="0" w:color="auto"/>
              <w:right w:val="single" w:sz="4" w:space="0" w:color="auto"/>
            </w:tcBorders>
          </w:tcPr>
          <w:p w14:paraId="49FC53EC" w14:textId="77777777" w:rsidR="00030303" w:rsidRDefault="00030303" w:rsidP="00030303">
            <w:r>
              <w:t xml:space="preserve">The </w:t>
            </w:r>
            <w:r w:rsidRPr="00ED2549">
              <w:rPr>
                <w:i/>
              </w:rPr>
              <w:t>National Disability Insurance Scheme (</w:t>
            </w:r>
            <w:r>
              <w:rPr>
                <w:i/>
              </w:rPr>
              <w:t>Code of Conduct</w:t>
            </w:r>
            <w:r w:rsidRPr="00ED2549">
              <w:rPr>
                <w:i/>
              </w:rPr>
              <w:t>) Rules 2018</w:t>
            </w:r>
            <w:r w:rsidRPr="00ED2549">
              <w:t xml:space="preserve"> </w:t>
            </w:r>
            <w:r>
              <w:t>provide a code of conduct that applies both of the following (s 73</w:t>
            </w:r>
            <w:proofErr w:type="gramStart"/>
            <w:r>
              <w:t>V(</w:t>
            </w:r>
            <w:proofErr w:type="gramEnd"/>
            <w:r>
              <w:t>1)):</w:t>
            </w:r>
          </w:p>
          <w:p w14:paraId="702C57AD" w14:textId="77777777" w:rsidR="00030303" w:rsidRDefault="00030303" w:rsidP="00030303">
            <w:pPr>
              <w:pStyle w:val="ListParagraph"/>
              <w:numPr>
                <w:ilvl w:val="0"/>
                <w:numId w:val="24"/>
              </w:numPr>
              <w:spacing w:after="0" w:line="240" w:lineRule="auto"/>
            </w:pPr>
            <w:r>
              <w:t>NDIS providers;</w:t>
            </w:r>
          </w:p>
          <w:p w14:paraId="702C8AF8" w14:textId="77777777" w:rsidR="00030303" w:rsidRDefault="00030303" w:rsidP="00030303">
            <w:pPr>
              <w:pStyle w:val="ListParagraph"/>
              <w:numPr>
                <w:ilvl w:val="0"/>
                <w:numId w:val="24"/>
              </w:numPr>
              <w:spacing w:after="0" w:line="240" w:lineRule="auto"/>
            </w:pPr>
            <w:r>
              <w:t>persons employed or otherwise engaged by NDIS providers or members of the key personnel of NDIS providers.</w:t>
            </w:r>
          </w:p>
          <w:p w14:paraId="77DC477F" w14:textId="77777777" w:rsidR="00030303" w:rsidRDefault="00030303" w:rsidP="00030303"/>
          <w:p w14:paraId="58AFD9A2" w14:textId="77777777" w:rsidR="00030303" w:rsidRDefault="00030303" w:rsidP="00030303">
            <w:r>
              <w:t>A person contravenes this section if the person is subject to a requirement under the NDIS Code of Conduct and fails to comply with the requirement (S73</w:t>
            </w:r>
            <w:proofErr w:type="gramStart"/>
            <w:r>
              <w:t>V(</w:t>
            </w:r>
            <w:proofErr w:type="gramEnd"/>
            <w:r>
              <w:t>3)).</w:t>
            </w:r>
          </w:p>
          <w:p w14:paraId="6D3CF77D" w14:textId="77777777" w:rsidR="00030303" w:rsidRDefault="00030303" w:rsidP="00030303"/>
          <w:p w14:paraId="56EF55DE" w14:textId="77777777" w:rsidR="00030303" w:rsidRPr="009F3D3E" w:rsidRDefault="00030303" w:rsidP="00030303">
            <w:r>
              <w:t>Civil penalty:          250 penalty units.</w:t>
            </w:r>
          </w:p>
        </w:tc>
      </w:tr>
      <w:tr w:rsidR="00030303" w:rsidRPr="009F3D3E" w14:paraId="4C3ECFBF" w14:textId="77777777" w:rsidTr="00030303">
        <w:trPr>
          <w:trHeight w:val="2953"/>
        </w:trPr>
        <w:tc>
          <w:tcPr>
            <w:tcW w:w="2394" w:type="dxa"/>
            <w:tcBorders>
              <w:top w:val="single" w:sz="4" w:space="0" w:color="auto"/>
              <w:left w:val="single" w:sz="4" w:space="0" w:color="auto"/>
              <w:bottom w:val="single" w:sz="4" w:space="0" w:color="auto"/>
              <w:right w:val="single" w:sz="4" w:space="0" w:color="auto"/>
            </w:tcBorders>
          </w:tcPr>
          <w:p w14:paraId="346094AA" w14:textId="77777777" w:rsidR="00030303" w:rsidRPr="009F3D3E" w:rsidRDefault="00030303" w:rsidP="00030303">
            <w:pPr>
              <w:rPr>
                <w:b/>
              </w:rPr>
            </w:pPr>
            <w:r>
              <w:rPr>
                <w:b/>
              </w:rPr>
              <w:t>C</w:t>
            </w:r>
            <w:r w:rsidRPr="000C46C4">
              <w:rPr>
                <w:b/>
              </w:rPr>
              <w:t>omplaints management and resolution system—registered NDIS providers</w:t>
            </w:r>
          </w:p>
        </w:tc>
        <w:tc>
          <w:tcPr>
            <w:tcW w:w="8516" w:type="dxa"/>
            <w:tcBorders>
              <w:top w:val="single" w:sz="4" w:space="0" w:color="auto"/>
              <w:left w:val="single" w:sz="4" w:space="0" w:color="auto"/>
              <w:bottom w:val="single" w:sz="4" w:space="0" w:color="auto"/>
              <w:right w:val="single" w:sz="4" w:space="0" w:color="auto"/>
            </w:tcBorders>
          </w:tcPr>
          <w:p w14:paraId="78341FD6" w14:textId="77777777" w:rsidR="00030303" w:rsidRDefault="00030303" w:rsidP="00030303">
            <w:r>
              <w:t>A registered NDIS provider must implement and maintain a complaints management and resolution system that (s 73W):</w:t>
            </w:r>
          </w:p>
          <w:p w14:paraId="02B64C08" w14:textId="77777777" w:rsidR="00030303" w:rsidRDefault="00030303" w:rsidP="00030303">
            <w:pPr>
              <w:pStyle w:val="ListParagraph"/>
              <w:numPr>
                <w:ilvl w:val="0"/>
                <w:numId w:val="25"/>
              </w:numPr>
              <w:spacing w:after="0" w:line="240" w:lineRule="auto"/>
            </w:pPr>
            <w:r>
              <w:t>is appropriate for the size of the provider and for the classes of supports or services provided by the provider; and</w:t>
            </w:r>
          </w:p>
          <w:p w14:paraId="268F88FA" w14:textId="77777777" w:rsidR="00030303" w:rsidRDefault="00030303" w:rsidP="00030303">
            <w:pPr>
              <w:pStyle w:val="ListParagraph"/>
              <w:numPr>
                <w:ilvl w:val="0"/>
                <w:numId w:val="25"/>
              </w:numPr>
              <w:spacing w:after="0" w:line="240" w:lineRule="auto"/>
            </w:pPr>
            <w:r>
              <w:t>acknowledges the role of advocates (including independent advocates) and other representatives of persons with disability; and</w:t>
            </w:r>
          </w:p>
          <w:p w14:paraId="6B86AFE5" w14:textId="77777777" w:rsidR="00030303" w:rsidRDefault="00030303" w:rsidP="00030303">
            <w:pPr>
              <w:pStyle w:val="ListParagraph"/>
              <w:numPr>
                <w:ilvl w:val="0"/>
                <w:numId w:val="25"/>
              </w:numPr>
              <w:spacing w:after="0" w:line="240" w:lineRule="auto"/>
            </w:pPr>
            <w:r>
              <w:t>provides for cooperation with, and facilitates arrangements for, advocates (including independent advocates) and other representatives of persons with disability who are affected by the complaints process and who wish to be independently supported in that process by an advocate or other representative; and</w:t>
            </w:r>
          </w:p>
          <w:p w14:paraId="2916C334" w14:textId="77777777" w:rsidR="00030303" w:rsidRDefault="00030303" w:rsidP="00030303">
            <w:pPr>
              <w:pStyle w:val="ListParagraph"/>
              <w:numPr>
                <w:ilvl w:val="0"/>
                <w:numId w:val="25"/>
              </w:numPr>
              <w:spacing w:after="0" w:line="240" w:lineRule="auto"/>
            </w:pPr>
            <w:r>
              <w:t xml:space="preserve">complies with the requirements prescribed by the </w:t>
            </w:r>
            <w:r w:rsidRPr="000C46C4">
              <w:rPr>
                <w:i/>
              </w:rPr>
              <w:t>National Disability Insurance Scheme (Complaints Management and Resolution) Rules 2018</w:t>
            </w:r>
            <w:r>
              <w:t>.</w:t>
            </w:r>
          </w:p>
          <w:p w14:paraId="694B61A7" w14:textId="77777777" w:rsidR="00030303" w:rsidRDefault="00030303" w:rsidP="00030303"/>
          <w:p w14:paraId="0BEE339D" w14:textId="77777777" w:rsidR="00030303" w:rsidRPr="000C46C4" w:rsidRDefault="00030303" w:rsidP="00030303">
            <w:pPr>
              <w:rPr>
                <w:sz w:val="16"/>
                <w:szCs w:val="16"/>
              </w:rPr>
            </w:pPr>
            <w:r>
              <w:rPr>
                <w:sz w:val="16"/>
                <w:szCs w:val="16"/>
              </w:rPr>
              <w:lastRenderedPageBreak/>
              <w:t xml:space="preserve">Note: </w:t>
            </w:r>
            <w:r w:rsidRPr="000C46C4">
              <w:rPr>
                <w:sz w:val="16"/>
                <w:szCs w:val="16"/>
              </w:rPr>
              <w:t>Non</w:t>
            </w:r>
            <w:r w:rsidRPr="000C46C4">
              <w:rPr>
                <w:sz w:val="16"/>
                <w:szCs w:val="16"/>
              </w:rPr>
              <w:noBreakHyphen/>
              <w:t>compliance with this section constitutes a breach of condition of registration (see paragraph 73F(2)(e) and section 73J).</w:t>
            </w:r>
          </w:p>
        </w:tc>
      </w:tr>
      <w:tr w:rsidR="00030303" w:rsidRPr="009F3D3E" w14:paraId="59363B6E" w14:textId="77777777" w:rsidTr="00030303">
        <w:trPr>
          <w:trHeight w:val="2525"/>
        </w:trPr>
        <w:tc>
          <w:tcPr>
            <w:tcW w:w="2394" w:type="dxa"/>
            <w:tcBorders>
              <w:top w:val="single" w:sz="4" w:space="0" w:color="auto"/>
              <w:left w:val="single" w:sz="4" w:space="0" w:color="auto"/>
              <w:bottom w:val="single" w:sz="4" w:space="0" w:color="auto"/>
              <w:right w:val="single" w:sz="4" w:space="0" w:color="auto"/>
            </w:tcBorders>
          </w:tcPr>
          <w:p w14:paraId="20B4B7B1" w14:textId="77777777" w:rsidR="00030303" w:rsidRPr="009F3D3E" w:rsidRDefault="00030303" w:rsidP="00030303">
            <w:pPr>
              <w:rPr>
                <w:b/>
              </w:rPr>
            </w:pPr>
            <w:r>
              <w:rPr>
                <w:b/>
              </w:rPr>
              <w:lastRenderedPageBreak/>
              <w:t xml:space="preserve">Incident management system </w:t>
            </w:r>
            <w:r w:rsidRPr="000C46C4">
              <w:rPr>
                <w:b/>
              </w:rPr>
              <w:t>—registered NDIS providers</w:t>
            </w:r>
          </w:p>
        </w:tc>
        <w:tc>
          <w:tcPr>
            <w:tcW w:w="8516" w:type="dxa"/>
            <w:tcBorders>
              <w:top w:val="single" w:sz="4" w:space="0" w:color="auto"/>
              <w:left w:val="single" w:sz="4" w:space="0" w:color="auto"/>
              <w:bottom w:val="single" w:sz="4" w:space="0" w:color="auto"/>
              <w:right w:val="single" w:sz="4" w:space="0" w:color="auto"/>
            </w:tcBorders>
          </w:tcPr>
          <w:p w14:paraId="4FF7CAF4" w14:textId="77777777" w:rsidR="00030303" w:rsidRDefault="00030303" w:rsidP="00030303">
            <w:r>
              <w:t>A registered NDIS provider must implement and maintain an incident management system that:</w:t>
            </w:r>
          </w:p>
          <w:p w14:paraId="7031E1AF" w14:textId="77777777" w:rsidR="00030303" w:rsidRDefault="00030303" w:rsidP="00030303">
            <w:pPr>
              <w:pStyle w:val="ListParagraph"/>
              <w:numPr>
                <w:ilvl w:val="0"/>
                <w:numId w:val="26"/>
              </w:numPr>
              <w:spacing w:after="0" w:line="240" w:lineRule="auto"/>
              <w:ind w:left="360"/>
            </w:pPr>
            <w:r>
              <w:t>is appropriate for the size of the provider and for the classes of supports or services provided by the provider; and</w:t>
            </w:r>
          </w:p>
          <w:p w14:paraId="44ABD7C2" w14:textId="77777777" w:rsidR="00030303" w:rsidRDefault="00030303" w:rsidP="00030303">
            <w:pPr>
              <w:pStyle w:val="ListParagraph"/>
              <w:numPr>
                <w:ilvl w:val="0"/>
                <w:numId w:val="26"/>
              </w:numPr>
              <w:spacing w:after="0" w:line="240" w:lineRule="auto"/>
              <w:ind w:left="360"/>
            </w:pPr>
            <w:r>
              <w:t xml:space="preserve">complies with the requirements prescribed by the </w:t>
            </w:r>
            <w:r w:rsidRPr="000C46C4">
              <w:rPr>
                <w:i/>
              </w:rPr>
              <w:t>National Disability Insurance Scheme (Incident Management and Reportable Incidents) Rules 2018</w:t>
            </w:r>
            <w:r>
              <w:t>.</w:t>
            </w:r>
          </w:p>
          <w:p w14:paraId="0F80F795" w14:textId="77777777" w:rsidR="00030303" w:rsidRDefault="00030303" w:rsidP="00030303"/>
          <w:p w14:paraId="61A6DB41" w14:textId="77777777" w:rsidR="00030303" w:rsidRPr="000C46C4" w:rsidRDefault="00030303" w:rsidP="00030303">
            <w:pPr>
              <w:rPr>
                <w:rFonts w:cstheme="minorHAnsi"/>
                <w:sz w:val="16"/>
                <w:szCs w:val="16"/>
              </w:rPr>
            </w:pPr>
            <w:r w:rsidRPr="000C46C4">
              <w:rPr>
                <w:rFonts w:cstheme="minorHAnsi"/>
                <w:sz w:val="16"/>
                <w:szCs w:val="16"/>
              </w:rPr>
              <w:t>Note: Non</w:t>
            </w:r>
            <w:r w:rsidRPr="000C46C4">
              <w:rPr>
                <w:rFonts w:ascii="Cambria Math" w:hAnsi="Cambria Math" w:cs="Cambria Math"/>
                <w:sz w:val="16"/>
                <w:szCs w:val="16"/>
              </w:rPr>
              <w:t>‑</w:t>
            </w:r>
            <w:r w:rsidRPr="000C46C4">
              <w:rPr>
                <w:rFonts w:cstheme="minorHAnsi"/>
                <w:sz w:val="16"/>
                <w:szCs w:val="16"/>
              </w:rPr>
              <w:t>compliance with this section constitutes a breach of condition of registration (see paragraph 73F(2)(g) and section 73J).</w:t>
            </w:r>
          </w:p>
        </w:tc>
      </w:tr>
    </w:tbl>
    <w:p w14:paraId="1092DD9B" w14:textId="77777777" w:rsidR="00030303" w:rsidRDefault="00030303" w:rsidP="00030303">
      <w:r w:rsidRPr="00833083">
        <w:t xml:space="preserve">Note: further provisions in relation the protection of </w:t>
      </w:r>
      <w:r>
        <w:t>discloser</w:t>
      </w:r>
      <w:r w:rsidRPr="00833083">
        <w:t xml:space="preserve">s under the NDIS Act is provided at </w:t>
      </w:r>
      <w:r w:rsidRPr="00833083">
        <w:fldChar w:fldCharType="begin"/>
      </w:r>
      <w:r w:rsidRPr="00833083">
        <w:instrText xml:space="preserve"> REF _Ref93935748 \h  \* MERGEFORMAT </w:instrText>
      </w:r>
      <w:r w:rsidRPr="00833083">
        <w:fldChar w:fldCharType="separate"/>
      </w:r>
      <w:r>
        <w:rPr>
          <w:lang w:eastAsia="en-AU"/>
        </w:rPr>
        <w:t>5.1</w:t>
      </w:r>
      <w:r>
        <w:rPr>
          <w:lang w:eastAsia="en-AU"/>
        </w:rPr>
        <w:tab/>
        <w:t xml:space="preserve">Commonwealth statutory </w:t>
      </w:r>
      <w:proofErr w:type="spellStart"/>
      <w:r>
        <w:rPr>
          <w:lang w:eastAsia="en-AU"/>
        </w:rPr>
        <w:t>whistleblower</w:t>
      </w:r>
      <w:proofErr w:type="spellEnd"/>
      <w:r>
        <w:rPr>
          <w:lang w:eastAsia="en-AU"/>
        </w:rPr>
        <w:t>-type protections</w:t>
      </w:r>
      <w:r w:rsidRPr="00833083">
        <w:fldChar w:fldCharType="end"/>
      </w:r>
      <w:r w:rsidRPr="00833083">
        <w:t xml:space="preserve"> ab</w:t>
      </w:r>
      <w:r>
        <w:t>ove.</w:t>
      </w:r>
    </w:p>
    <w:p w14:paraId="6D4C3356" w14:textId="77777777" w:rsidR="00030303" w:rsidRDefault="00030303" w:rsidP="00030303"/>
    <w:p w14:paraId="1F5A54A5" w14:textId="77777777" w:rsidR="00030303" w:rsidRDefault="00030303" w:rsidP="00030303"/>
    <w:p w14:paraId="676DEEB8" w14:textId="77777777" w:rsidR="00030303" w:rsidRDefault="00030303" w:rsidP="00030303"/>
    <w:p w14:paraId="7C6AD2F9" w14:textId="77777777" w:rsidR="00030303" w:rsidRPr="00833083" w:rsidRDefault="00030303" w:rsidP="00030303">
      <w:pPr>
        <w:sectPr w:rsidR="00030303" w:rsidRPr="00833083" w:rsidSect="00030303">
          <w:pgSz w:w="16840" w:h="11907" w:orient="landscape" w:code="9"/>
          <w:pgMar w:top="1440" w:right="956" w:bottom="1440" w:left="1440" w:header="142" w:footer="0" w:gutter="0"/>
          <w:cols w:space="708"/>
          <w:titlePg/>
          <w:docGrid w:linePitch="360"/>
        </w:sectPr>
      </w:pPr>
    </w:p>
    <w:p w14:paraId="292C9CD5" w14:textId="77777777" w:rsidR="00030303" w:rsidRPr="00AB22CB" w:rsidRDefault="00030303" w:rsidP="00030303">
      <w:pPr>
        <w:pStyle w:val="Heading2"/>
        <w:ind w:left="426"/>
        <w:rPr>
          <w:b/>
          <w:color w:val="auto"/>
          <w:sz w:val="22"/>
          <w:szCs w:val="22"/>
        </w:rPr>
      </w:pPr>
      <w:r w:rsidRPr="00AB22CB">
        <w:rPr>
          <w:b/>
          <w:color w:val="auto"/>
          <w:sz w:val="22"/>
          <w:szCs w:val="22"/>
        </w:rPr>
        <w:lastRenderedPageBreak/>
        <w:t>State and Territory Disability Specific Frameworks</w:t>
      </w:r>
    </w:p>
    <w:p w14:paraId="2F897351" w14:textId="77777777" w:rsidR="00030303" w:rsidRPr="00BA57A3" w:rsidRDefault="00030303" w:rsidP="00030303">
      <w:pPr>
        <w:pStyle w:val="Heading6"/>
        <w:numPr>
          <w:ilvl w:val="5"/>
          <w:numId w:val="0"/>
        </w:numPr>
        <w:tabs>
          <w:tab w:val="num" w:pos="1"/>
        </w:tabs>
        <w:ind w:firstLine="1"/>
      </w:pPr>
      <w:r w:rsidRPr="00BA57A3">
        <w:t>State and Territory frameworks regulating the standard of care delivered by disability service providers</w:t>
      </w:r>
    </w:p>
    <w:p w14:paraId="4719BF65" w14:textId="77777777" w:rsidR="00030303" w:rsidRPr="00D92123" w:rsidRDefault="00030303" w:rsidP="00030303">
      <w:pPr>
        <w:rPr>
          <w:lang w:val="en-GB"/>
        </w:rPr>
      </w:pPr>
      <w:r>
        <w:rPr>
          <w:lang w:val="en-GB"/>
        </w:rPr>
        <w:t>The introduction of the Commonwealth NDIS likely diminishes the application of protections under State and Territory disability services legislation. However, for persons that experience a lesser standard of care following their engagement with a Royal Commission, there are a large number of remaining oversight bodies, advocacy services, and community visitor schemes that persons with disability can access to remedy the situation. These safeguards, and the funding schemes that they accompany, are explained in detail in the table below.</w:t>
      </w:r>
    </w:p>
    <w:p w14:paraId="41D05EC8" w14:textId="77777777" w:rsidR="00030303" w:rsidRPr="00BA57A3" w:rsidRDefault="00030303" w:rsidP="00030303">
      <w:pPr>
        <w:pStyle w:val="Heading6"/>
        <w:numPr>
          <w:ilvl w:val="5"/>
          <w:numId w:val="0"/>
        </w:numPr>
        <w:tabs>
          <w:tab w:val="num" w:pos="1"/>
        </w:tabs>
        <w:ind w:firstLine="1"/>
        <w:rPr>
          <w:lang w:val="en-GB"/>
        </w:rPr>
      </w:pPr>
      <w:r>
        <w:rPr>
          <w:lang w:val="en-GB"/>
        </w:rPr>
        <w:t>State and Territory d</w:t>
      </w:r>
      <w:r w:rsidRPr="00BA57A3">
        <w:rPr>
          <w:lang w:val="en-GB"/>
        </w:rPr>
        <w:t>isability service provider funding legislation</w:t>
      </w:r>
    </w:p>
    <w:p w14:paraId="71D0F75E" w14:textId="77777777" w:rsidR="00030303" w:rsidRPr="00BA57A3" w:rsidRDefault="00030303" w:rsidP="00030303">
      <w:pPr>
        <w:spacing w:before="240"/>
        <w:rPr>
          <w:lang w:val="en-GB"/>
        </w:rPr>
      </w:pPr>
      <w:r w:rsidRPr="00BA57A3">
        <w:rPr>
          <w:lang w:val="en-GB"/>
        </w:rPr>
        <w:t xml:space="preserve">The introduction of the NDIS Act largely replaced the disability services funding that had traditionally been provided by the States and Territories under their respective </w:t>
      </w:r>
      <w:r w:rsidRPr="00BA57A3">
        <w:t>disability services legislation. However, t</w:t>
      </w:r>
      <w:r w:rsidRPr="00BA57A3">
        <w:rPr>
          <w:lang w:val="en-GB"/>
        </w:rPr>
        <w:t>he States and Territories continue to provide funding for advocacy services for people with disability. The States and Territories also continue to apply certain safeguards of their own under disability services legislation and other laws, some of which add to or overlap with the protections in place under the NDIS Act.</w:t>
      </w:r>
    </w:p>
    <w:p w14:paraId="78AED3BF" w14:textId="77777777" w:rsidR="00030303" w:rsidRPr="00BA57A3" w:rsidRDefault="00030303" w:rsidP="00030303">
      <w:pPr>
        <w:spacing w:before="240"/>
      </w:pPr>
      <w:r w:rsidRPr="00BA57A3">
        <w:t>The State and Territory disability services legislation which formerly formed the key mechanisms by which each jurisdiction funded these specialist services are:</w:t>
      </w:r>
    </w:p>
    <w:p w14:paraId="65FE374D" w14:textId="77777777" w:rsidR="00030303" w:rsidRPr="00BA57A3" w:rsidRDefault="00030303" w:rsidP="00030303">
      <w:pPr>
        <w:pStyle w:val="ListParagraph"/>
        <w:numPr>
          <w:ilvl w:val="0"/>
          <w:numId w:val="16"/>
        </w:numPr>
        <w:tabs>
          <w:tab w:val="num" w:pos="709"/>
        </w:tabs>
        <w:spacing w:before="240"/>
      </w:pPr>
      <w:r w:rsidRPr="00741096">
        <w:rPr>
          <w:b/>
        </w:rPr>
        <w:t>New South Wales</w:t>
      </w:r>
      <w:r w:rsidRPr="00BA57A3">
        <w:t xml:space="preserve">: </w:t>
      </w:r>
      <w:proofErr w:type="gramStart"/>
      <w:r w:rsidRPr="00BA57A3">
        <w:t>the</w:t>
      </w:r>
      <w:proofErr w:type="gramEnd"/>
      <w:r w:rsidRPr="00741096">
        <w:rPr>
          <w:b/>
        </w:rPr>
        <w:t xml:space="preserve"> </w:t>
      </w:r>
      <w:r w:rsidRPr="00741096">
        <w:rPr>
          <w:i/>
        </w:rPr>
        <w:t>Disability Inclusion Act 2014</w:t>
      </w:r>
      <w:r w:rsidRPr="00BA57A3">
        <w:t xml:space="preserve"> (NSW);</w:t>
      </w:r>
    </w:p>
    <w:p w14:paraId="649C7AFC" w14:textId="77777777" w:rsidR="00030303" w:rsidRPr="00BA57A3" w:rsidRDefault="00030303" w:rsidP="00030303">
      <w:pPr>
        <w:pStyle w:val="ListParagraph"/>
        <w:numPr>
          <w:ilvl w:val="0"/>
          <w:numId w:val="16"/>
        </w:numPr>
        <w:tabs>
          <w:tab w:val="num" w:pos="709"/>
        </w:tabs>
        <w:spacing w:before="240"/>
      </w:pPr>
      <w:r w:rsidRPr="00741096">
        <w:rPr>
          <w:b/>
        </w:rPr>
        <w:t xml:space="preserve">Victoria: </w:t>
      </w:r>
      <w:proofErr w:type="gramStart"/>
      <w:r w:rsidRPr="00BA57A3">
        <w:t>the</w:t>
      </w:r>
      <w:proofErr w:type="gramEnd"/>
      <w:r w:rsidRPr="00741096">
        <w:rPr>
          <w:b/>
        </w:rPr>
        <w:t xml:space="preserve"> </w:t>
      </w:r>
      <w:r w:rsidRPr="00741096">
        <w:rPr>
          <w:i/>
        </w:rPr>
        <w:t xml:space="preserve">Disability Act 2006 </w:t>
      </w:r>
      <w:r w:rsidRPr="00BA57A3">
        <w:t>(Vic);</w:t>
      </w:r>
    </w:p>
    <w:p w14:paraId="6226F29B" w14:textId="77777777" w:rsidR="00030303" w:rsidRPr="00BA57A3" w:rsidRDefault="00030303" w:rsidP="00030303">
      <w:pPr>
        <w:pStyle w:val="ListParagraph"/>
        <w:numPr>
          <w:ilvl w:val="0"/>
          <w:numId w:val="16"/>
        </w:numPr>
        <w:tabs>
          <w:tab w:val="num" w:pos="709"/>
        </w:tabs>
        <w:spacing w:before="240"/>
      </w:pPr>
      <w:r w:rsidRPr="00741096">
        <w:rPr>
          <w:b/>
        </w:rPr>
        <w:t>Queensland:</w:t>
      </w:r>
      <w:r w:rsidRPr="00BA57A3">
        <w:t xml:space="preserve"> </w:t>
      </w:r>
      <w:proofErr w:type="gramStart"/>
      <w:r w:rsidRPr="00BA57A3">
        <w:t>the</w:t>
      </w:r>
      <w:proofErr w:type="gramEnd"/>
      <w:r w:rsidRPr="00BA57A3">
        <w:t xml:space="preserve"> Disability Services Act 2006 (Qld);</w:t>
      </w:r>
    </w:p>
    <w:p w14:paraId="0B361514" w14:textId="77777777" w:rsidR="00030303" w:rsidRPr="00BA57A3" w:rsidRDefault="00030303" w:rsidP="00030303">
      <w:pPr>
        <w:pStyle w:val="ListParagraph"/>
        <w:numPr>
          <w:ilvl w:val="0"/>
          <w:numId w:val="16"/>
        </w:numPr>
        <w:tabs>
          <w:tab w:val="num" w:pos="709"/>
        </w:tabs>
        <w:spacing w:before="240"/>
      </w:pPr>
      <w:r w:rsidRPr="00741096">
        <w:rPr>
          <w:b/>
        </w:rPr>
        <w:t xml:space="preserve">South Australia: </w:t>
      </w:r>
      <w:proofErr w:type="gramStart"/>
      <w:r w:rsidRPr="00BA57A3">
        <w:t>the</w:t>
      </w:r>
      <w:proofErr w:type="gramEnd"/>
      <w:r w:rsidRPr="00741096">
        <w:rPr>
          <w:b/>
        </w:rPr>
        <w:t xml:space="preserve"> </w:t>
      </w:r>
      <w:r w:rsidRPr="00BA57A3">
        <w:t>Disability Inclusion Act 2018 (SA);</w:t>
      </w:r>
    </w:p>
    <w:p w14:paraId="34D361E7" w14:textId="77777777" w:rsidR="00030303" w:rsidRPr="00741096" w:rsidRDefault="00030303" w:rsidP="00030303">
      <w:pPr>
        <w:pStyle w:val="ListParagraph"/>
        <w:numPr>
          <w:ilvl w:val="0"/>
          <w:numId w:val="16"/>
        </w:numPr>
        <w:tabs>
          <w:tab w:val="num" w:pos="709"/>
        </w:tabs>
        <w:spacing w:before="240"/>
        <w:rPr>
          <w:b/>
        </w:rPr>
      </w:pPr>
      <w:r w:rsidRPr="00741096">
        <w:rPr>
          <w:b/>
        </w:rPr>
        <w:t xml:space="preserve">Western Australia: </w:t>
      </w:r>
      <w:proofErr w:type="gramStart"/>
      <w:r w:rsidRPr="00BA57A3">
        <w:t>the</w:t>
      </w:r>
      <w:proofErr w:type="gramEnd"/>
      <w:r w:rsidRPr="00741096">
        <w:rPr>
          <w:b/>
        </w:rPr>
        <w:t xml:space="preserve"> </w:t>
      </w:r>
      <w:r w:rsidRPr="00BA57A3">
        <w:t>Disability Services Act 1993 (WA);</w:t>
      </w:r>
    </w:p>
    <w:p w14:paraId="2C5FB941" w14:textId="77777777" w:rsidR="00030303" w:rsidRPr="00BA57A3" w:rsidRDefault="00030303" w:rsidP="00030303">
      <w:pPr>
        <w:pStyle w:val="ListParagraph"/>
        <w:numPr>
          <w:ilvl w:val="0"/>
          <w:numId w:val="16"/>
        </w:numPr>
        <w:tabs>
          <w:tab w:val="num" w:pos="709"/>
        </w:tabs>
        <w:spacing w:before="240"/>
      </w:pPr>
      <w:r w:rsidRPr="00741096">
        <w:rPr>
          <w:b/>
        </w:rPr>
        <w:t>Tasmania:</w:t>
      </w:r>
      <w:r w:rsidRPr="00BA57A3">
        <w:t xml:space="preserve"> </w:t>
      </w:r>
      <w:proofErr w:type="gramStart"/>
      <w:r w:rsidRPr="00BA57A3">
        <w:t>the</w:t>
      </w:r>
      <w:proofErr w:type="gramEnd"/>
      <w:r w:rsidRPr="00741096">
        <w:rPr>
          <w:b/>
        </w:rPr>
        <w:t xml:space="preserve"> </w:t>
      </w:r>
      <w:r w:rsidRPr="00BA57A3">
        <w:t xml:space="preserve">Disability Services Act 2011 (Tas); </w:t>
      </w:r>
    </w:p>
    <w:p w14:paraId="6F52C063" w14:textId="77777777" w:rsidR="00030303" w:rsidRPr="00741096" w:rsidRDefault="00030303" w:rsidP="00030303">
      <w:pPr>
        <w:pStyle w:val="ListParagraph"/>
        <w:numPr>
          <w:ilvl w:val="0"/>
          <w:numId w:val="16"/>
        </w:numPr>
        <w:tabs>
          <w:tab w:val="num" w:pos="709"/>
        </w:tabs>
        <w:spacing w:before="240"/>
        <w:rPr>
          <w:b/>
        </w:rPr>
      </w:pPr>
      <w:r w:rsidRPr="00741096">
        <w:rPr>
          <w:b/>
        </w:rPr>
        <w:t>Northern Territory:</w:t>
      </w:r>
      <w:r w:rsidRPr="00BA57A3">
        <w:t xml:space="preserve"> </w:t>
      </w:r>
      <w:proofErr w:type="gramStart"/>
      <w:r w:rsidRPr="00BA57A3">
        <w:t>the</w:t>
      </w:r>
      <w:proofErr w:type="gramEnd"/>
      <w:r w:rsidRPr="00741096">
        <w:rPr>
          <w:b/>
        </w:rPr>
        <w:t xml:space="preserve"> </w:t>
      </w:r>
      <w:r w:rsidRPr="00741096">
        <w:rPr>
          <w:i/>
        </w:rPr>
        <w:t xml:space="preserve">Disability Services Act 1993 </w:t>
      </w:r>
      <w:r w:rsidRPr="00BA57A3">
        <w:t>(NT); and</w:t>
      </w:r>
    </w:p>
    <w:p w14:paraId="54AB84A2" w14:textId="77777777" w:rsidR="00030303" w:rsidRPr="00741096" w:rsidRDefault="00030303" w:rsidP="00030303">
      <w:pPr>
        <w:pStyle w:val="ListParagraph"/>
        <w:numPr>
          <w:ilvl w:val="0"/>
          <w:numId w:val="16"/>
        </w:numPr>
        <w:tabs>
          <w:tab w:val="num" w:pos="709"/>
        </w:tabs>
        <w:spacing w:before="240"/>
        <w:rPr>
          <w:b/>
        </w:rPr>
      </w:pPr>
      <w:r w:rsidRPr="00741096">
        <w:rPr>
          <w:b/>
        </w:rPr>
        <w:t xml:space="preserve">Australian Capital Territory: </w:t>
      </w:r>
      <w:proofErr w:type="gramStart"/>
      <w:r w:rsidRPr="00BA57A3">
        <w:t>the</w:t>
      </w:r>
      <w:proofErr w:type="gramEnd"/>
      <w:r w:rsidRPr="00741096">
        <w:rPr>
          <w:b/>
        </w:rPr>
        <w:t xml:space="preserve"> </w:t>
      </w:r>
      <w:r w:rsidRPr="00741096">
        <w:rPr>
          <w:i/>
        </w:rPr>
        <w:t xml:space="preserve">Disability Services Act 1991 </w:t>
      </w:r>
      <w:r w:rsidRPr="00BA57A3">
        <w:t>(ACT).</w:t>
      </w:r>
    </w:p>
    <w:p w14:paraId="530C1FA1" w14:textId="77777777" w:rsidR="00030303" w:rsidRPr="00BA57A3" w:rsidRDefault="00030303" w:rsidP="00030303">
      <w:pPr>
        <w:pStyle w:val="Heading6"/>
        <w:numPr>
          <w:ilvl w:val="5"/>
          <w:numId w:val="0"/>
        </w:numPr>
        <w:tabs>
          <w:tab w:val="num" w:pos="1"/>
        </w:tabs>
        <w:ind w:firstLine="1"/>
      </w:pPr>
      <w:bookmarkStart w:id="19" w:name="_Toc53407179"/>
      <w:bookmarkStart w:id="20" w:name="_Toc53406584"/>
      <w:bookmarkStart w:id="21" w:name="_Toc53404005"/>
      <w:r>
        <w:lastRenderedPageBreak/>
        <w:t>State and Territory b</w:t>
      </w:r>
      <w:r w:rsidRPr="00BA57A3">
        <w:t>odies responsible for protecting people with disability</w:t>
      </w:r>
      <w:bookmarkEnd w:id="19"/>
      <w:bookmarkEnd w:id="20"/>
      <w:bookmarkEnd w:id="21"/>
      <w:r w:rsidRPr="00BA57A3">
        <w:t xml:space="preserve"> </w:t>
      </w:r>
    </w:p>
    <w:p w14:paraId="13264918" w14:textId="77777777" w:rsidR="00030303" w:rsidRPr="00BA57A3" w:rsidRDefault="00030303" w:rsidP="00030303">
      <w:pPr>
        <w:spacing w:before="240"/>
      </w:pPr>
      <w:r w:rsidRPr="00BA57A3">
        <w:t xml:space="preserve">In addition to the protections set out in disability services legislation, New South Wales, South Australia, the ACT and the Northern Territory each have specific legislation establishing bodies designed to safeguard the rights and welfare of people with disability. Victoria also has a further legislative regime intended to facilitate the co-ordinated provision of multiple services to people with disability who have complex needs. </w:t>
      </w:r>
    </w:p>
    <w:p w14:paraId="3ECEDCE2" w14:textId="77777777" w:rsidR="00030303" w:rsidRPr="00BA57A3" w:rsidRDefault="00030303" w:rsidP="00030303">
      <w:pPr>
        <w:spacing w:before="240"/>
      </w:pPr>
      <w:r w:rsidRPr="00BA57A3">
        <w:t xml:space="preserve">These bodies perform functions relating to the resolution of complaints about certain services for people with disability, as well as advising government and educating the public on issues relating to people with disability. These bodies may also have a formal role in addressing and preventing the abuse, neglect or exploitation of people with disability, and identifying systemic issues in this field. </w:t>
      </w:r>
    </w:p>
    <w:p w14:paraId="20FCA8AA" w14:textId="77777777" w:rsidR="00030303" w:rsidRPr="00BA57A3" w:rsidRDefault="00030303" w:rsidP="00030303">
      <w:pPr>
        <w:pStyle w:val="Heading6"/>
        <w:numPr>
          <w:ilvl w:val="5"/>
          <w:numId w:val="0"/>
        </w:numPr>
        <w:tabs>
          <w:tab w:val="num" w:pos="1"/>
        </w:tabs>
        <w:ind w:firstLine="1"/>
      </w:pPr>
      <w:bookmarkStart w:id="22" w:name="_Toc53407180"/>
      <w:bookmarkStart w:id="23" w:name="_Toc53406585"/>
      <w:bookmarkStart w:id="24" w:name="_Toc53404006"/>
      <w:r>
        <w:t>State and Territory p</w:t>
      </w:r>
      <w:r w:rsidRPr="00BA57A3">
        <w:t>ublic advocates and public guardians</w:t>
      </w:r>
      <w:bookmarkEnd w:id="22"/>
      <w:bookmarkEnd w:id="23"/>
      <w:bookmarkEnd w:id="24"/>
      <w:r w:rsidRPr="00BA57A3">
        <w:t xml:space="preserve"> </w:t>
      </w:r>
    </w:p>
    <w:p w14:paraId="17DF3E14" w14:textId="77777777" w:rsidR="00030303" w:rsidRPr="00BA57A3" w:rsidRDefault="00030303" w:rsidP="00030303">
      <w:pPr>
        <w:spacing w:before="240"/>
      </w:pPr>
      <w:r w:rsidRPr="00BA57A3">
        <w:t xml:space="preserve">Public advocates and public guardians provide a second source of protection. These are independent statutory appointees who generally have a specific role in the context of guardianship legislation; for instance, they may act as the guardian or attorney of last resort for adults with impaired capacity, or provide guidance and oversight for other guardians. </w:t>
      </w:r>
    </w:p>
    <w:p w14:paraId="6A5D4135" w14:textId="77777777" w:rsidR="00030303" w:rsidRPr="00BA57A3" w:rsidRDefault="00030303" w:rsidP="00030303">
      <w:pPr>
        <w:spacing w:before="240"/>
      </w:pPr>
      <w:r w:rsidRPr="00BA57A3">
        <w:t>Each State and Territory has legislation establishing the office of a Public Advocate or Public Guardian. The scope of this role varies between jurisdictions. In New South Wales, Western Australia and the Northern Territory, for instance, the Public Guardian’s functions are largely focussed on the guardianship system (</w:t>
      </w:r>
      <w:proofErr w:type="spellStart"/>
      <w:r w:rsidRPr="00BA57A3">
        <w:t>eg</w:t>
      </w:r>
      <w:proofErr w:type="spellEnd"/>
      <w:r w:rsidRPr="00BA57A3">
        <w:t xml:space="preserve">, providing oversight of guardianship arrangements for people with impaired capacity). </w:t>
      </w:r>
    </w:p>
    <w:p w14:paraId="169B7416" w14:textId="77777777" w:rsidR="00030303" w:rsidRPr="00BA57A3" w:rsidRDefault="00030303" w:rsidP="00030303">
      <w:pPr>
        <w:spacing w:before="240"/>
      </w:pPr>
      <w:r w:rsidRPr="00BA57A3">
        <w:t>In other jurisdictions, however, the Public Advocate or Guardian has broader responsibilities to advocate for and safeguard people with disability or impaired capacity more generally. This may extend to protecting them from abuse, neglect or exploitation, acting on their behalf to obtain assistance, and encouraging the development of programs and services for their benefit.</w:t>
      </w:r>
    </w:p>
    <w:p w14:paraId="64C11DB2" w14:textId="77777777" w:rsidR="00030303" w:rsidRPr="00BA57A3" w:rsidRDefault="00030303" w:rsidP="00030303">
      <w:pPr>
        <w:pStyle w:val="Heading6"/>
        <w:numPr>
          <w:ilvl w:val="5"/>
          <w:numId w:val="0"/>
        </w:numPr>
        <w:tabs>
          <w:tab w:val="num" w:pos="1"/>
        </w:tabs>
        <w:ind w:firstLine="1"/>
      </w:pPr>
      <w:bookmarkStart w:id="25" w:name="_Toc53407181"/>
      <w:bookmarkStart w:id="26" w:name="_Toc53406586"/>
      <w:bookmarkStart w:id="27" w:name="_Toc53404007"/>
      <w:r>
        <w:t>State and Territory c</w:t>
      </w:r>
      <w:r w:rsidRPr="00BA57A3">
        <w:t>ommunity visitor schemes</w:t>
      </w:r>
      <w:bookmarkEnd w:id="25"/>
      <w:bookmarkEnd w:id="26"/>
      <w:bookmarkEnd w:id="27"/>
      <w:r w:rsidRPr="00BA57A3">
        <w:t xml:space="preserve"> </w:t>
      </w:r>
    </w:p>
    <w:p w14:paraId="5F9D2E39" w14:textId="77777777" w:rsidR="00030303" w:rsidRPr="00BA57A3" w:rsidRDefault="00030303" w:rsidP="00030303">
      <w:pPr>
        <w:spacing w:before="240"/>
      </w:pPr>
      <w:r w:rsidRPr="00BA57A3">
        <w:t>Thirdly, all jurisdictions have legislation establishing ‘community visitor’ or ‘official visitor’ schemes. Community visitors are independent statutory appointees empowered to attend ‘visitable premises’ and perform functions such as:</w:t>
      </w:r>
    </w:p>
    <w:p w14:paraId="2C032483" w14:textId="77777777" w:rsidR="00030303" w:rsidRPr="00BA57A3" w:rsidRDefault="00030303" w:rsidP="00030303">
      <w:pPr>
        <w:pStyle w:val="ListParagraph"/>
        <w:numPr>
          <w:ilvl w:val="0"/>
          <w:numId w:val="15"/>
        </w:numPr>
        <w:tabs>
          <w:tab w:val="num" w:pos="709"/>
        </w:tabs>
        <w:spacing w:before="240"/>
      </w:pPr>
      <w:r w:rsidRPr="00BA57A3">
        <w:t>inspecting whether relevant facilities and services are of an appropriate standard;</w:t>
      </w:r>
    </w:p>
    <w:p w14:paraId="0F9C8D56" w14:textId="77777777" w:rsidR="00030303" w:rsidRPr="00BA57A3" w:rsidRDefault="00030303" w:rsidP="00030303">
      <w:pPr>
        <w:pStyle w:val="ListParagraph"/>
        <w:numPr>
          <w:ilvl w:val="0"/>
          <w:numId w:val="15"/>
        </w:numPr>
        <w:tabs>
          <w:tab w:val="num" w:pos="709"/>
        </w:tabs>
        <w:spacing w:before="240"/>
      </w:pPr>
      <w:r w:rsidRPr="00BA57A3">
        <w:t xml:space="preserve">receiving complaints from and providing information to residents; and </w:t>
      </w:r>
    </w:p>
    <w:p w14:paraId="03E6C442" w14:textId="77777777" w:rsidR="00030303" w:rsidRPr="00BA57A3" w:rsidRDefault="00030303" w:rsidP="00030303">
      <w:pPr>
        <w:pStyle w:val="ListParagraph"/>
        <w:numPr>
          <w:ilvl w:val="0"/>
          <w:numId w:val="15"/>
        </w:numPr>
        <w:tabs>
          <w:tab w:val="num" w:pos="709"/>
        </w:tabs>
        <w:spacing w:before="240"/>
      </w:pPr>
      <w:r w:rsidRPr="00BA57A3">
        <w:lastRenderedPageBreak/>
        <w:t>identifying and reporting on issues relevant to residents’ rights and wellbeing.</w:t>
      </w:r>
    </w:p>
    <w:p w14:paraId="4703CB4D" w14:textId="77777777" w:rsidR="00030303" w:rsidRPr="00BA57A3" w:rsidRDefault="00030303" w:rsidP="00030303">
      <w:pPr>
        <w:spacing w:before="240"/>
      </w:pPr>
      <w:r w:rsidRPr="00BA57A3">
        <w:t xml:space="preserve">Community visitors are generally empowered to visit premises unannounced, and confer with residents and staff. They also have certain powers to inspect records and require staff to answer questions. This may assist them to identify systemic issues in the provision of services to people with disability.  In this way, community visitor schemes provide a degree of independent oversight in a range of institutional settlings, and form part of the broader framework for preventing the abuse, neglect and exploitation of people with disability. </w:t>
      </w:r>
    </w:p>
    <w:p w14:paraId="779B3311" w14:textId="77777777" w:rsidR="00030303" w:rsidRPr="00BA57A3" w:rsidRDefault="00030303" w:rsidP="00030303">
      <w:pPr>
        <w:pStyle w:val="Heading7"/>
        <w:numPr>
          <w:ilvl w:val="6"/>
          <w:numId w:val="0"/>
        </w:numPr>
        <w:tabs>
          <w:tab w:val="num" w:pos="2976"/>
        </w:tabs>
        <w:ind w:left="425" w:hanging="425"/>
      </w:pPr>
      <w:r w:rsidRPr="00F5236D">
        <w:t>Coverage</w:t>
      </w:r>
      <w:r w:rsidRPr="00BA57A3">
        <w:t xml:space="preserve"> of </w:t>
      </w:r>
      <w:r>
        <w:t xml:space="preserve">community visitor </w:t>
      </w:r>
      <w:r w:rsidRPr="00BA57A3">
        <w:t>schemes and interaction with the NDIS</w:t>
      </w:r>
    </w:p>
    <w:p w14:paraId="18031B2C" w14:textId="77777777" w:rsidR="00030303" w:rsidRPr="002526FF" w:rsidRDefault="00030303" w:rsidP="00030303">
      <w:r w:rsidRPr="00BA57A3">
        <w:t>The coverage of community visitor schemes varies significantly between jurisdictions. In Tasmania and Western Australia, these schemes apply only to mental health facilities. In other jurisdictions, however, they extend to a range of settlings in which people with disability may live or receive services. Broadly speaking, community visitors are statutory appointees empowered to attend and inspect ‘visitable premises’ to determine that the facilities and services are of an appropriate standard, receive complaints from and provide information to residents, and identify and report on any issues. In some jurisdictions, these schemes extend to specialist disability accommodation provided under the NDIS, and certain other premises at which NDIS participants receive supports and services. However, the NDIS Act does not formally recognise the interaction between these schemes and the NDIS</w:t>
      </w:r>
    </w:p>
    <w:p w14:paraId="4A363489" w14:textId="77777777" w:rsidR="00030303" w:rsidRDefault="00030303" w:rsidP="00030303">
      <w:pPr>
        <w:rPr>
          <w:b/>
        </w:rPr>
        <w:sectPr w:rsidR="00030303" w:rsidSect="00030303">
          <w:pgSz w:w="16840" w:h="11907" w:orient="landscape" w:code="9"/>
          <w:pgMar w:top="1440" w:right="1440" w:bottom="1440" w:left="1440" w:header="709" w:footer="709" w:gutter="0"/>
          <w:cols w:space="708"/>
          <w:docGrid w:linePitch="360"/>
        </w:sectPr>
      </w:pPr>
    </w:p>
    <w:p w14:paraId="1C8A4589" w14:textId="77777777" w:rsidR="00030303" w:rsidRPr="002526FF" w:rsidRDefault="00030303" w:rsidP="00030303">
      <w:pPr>
        <w:pStyle w:val="Heading4"/>
        <w:rPr>
          <w:w w:val="100"/>
        </w:rPr>
      </w:pPr>
      <w:bookmarkStart w:id="28" w:name="_Toc94878183"/>
      <w:r w:rsidRPr="002526FF">
        <w:rPr>
          <w:w w:val="100"/>
        </w:rPr>
        <w:lastRenderedPageBreak/>
        <w:t>State and Territory legislative provisions – disability specific statutory and administrative remedies</w:t>
      </w:r>
      <w:bookmarkEnd w:id="28"/>
    </w:p>
    <w:tbl>
      <w:tblPr>
        <w:tblStyle w:val="TableGrid1"/>
        <w:tblW w:w="0" w:type="auto"/>
        <w:tblBorders>
          <w:insideV w:val="none" w:sz="0" w:space="0" w:color="auto"/>
        </w:tblBorders>
        <w:tblLook w:val="04A0" w:firstRow="1" w:lastRow="0" w:firstColumn="1" w:lastColumn="0" w:noHBand="0" w:noVBand="1"/>
      </w:tblPr>
      <w:tblGrid>
        <w:gridCol w:w="1057"/>
        <w:gridCol w:w="1661"/>
        <w:gridCol w:w="1635"/>
        <w:gridCol w:w="1584"/>
        <w:gridCol w:w="1570"/>
        <w:gridCol w:w="1520"/>
        <w:gridCol w:w="1655"/>
        <w:gridCol w:w="1704"/>
        <w:gridCol w:w="1562"/>
      </w:tblGrid>
      <w:tr w:rsidR="00030303" w:rsidRPr="00834BF0" w14:paraId="02D992D2" w14:textId="77777777" w:rsidTr="00030303">
        <w:trPr>
          <w:tblHeader/>
        </w:trPr>
        <w:tc>
          <w:tcPr>
            <w:tcW w:w="0" w:type="auto"/>
            <w:shd w:val="clear" w:color="auto" w:fill="D9D9D9"/>
          </w:tcPr>
          <w:p w14:paraId="7F9A6378" w14:textId="77777777" w:rsidR="00030303" w:rsidRPr="00834BF0" w:rsidRDefault="00030303" w:rsidP="00030303">
            <w:pPr>
              <w:rPr>
                <w:rFonts w:cs="Times New Roman"/>
                <w:b/>
                <w:sz w:val="19"/>
                <w:szCs w:val="19"/>
              </w:rPr>
            </w:pPr>
            <w:r w:rsidRPr="00834BF0">
              <w:rPr>
                <w:rFonts w:cs="Times New Roman"/>
                <w:b/>
                <w:sz w:val="19"/>
                <w:szCs w:val="19"/>
              </w:rPr>
              <w:t>Topic</w:t>
            </w:r>
          </w:p>
        </w:tc>
        <w:tc>
          <w:tcPr>
            <w:tcW w:w="0" w:type="auto"/>
            <w:shd w:val="clear" w:color="auto" w:fill="D9D9D9"/>
          </w:tcPr>
          <w:p w14:paraId="60E6F677" w14:textId="77777777" w:rsidR="00030303" w:rsidRPr="00834BF0" w:rsidRDefault="00030303" w:rsidP="00030303">
            <w:pPr>
              <w:rPr>
                <w:rFonts w:cs="Times New Roman"/>
                <w:b/>
                <w:sz w:val="19"/>
                <w:szCs w:val="19"/>
              </w:rPr>
            </w:pPr>
            <w:r w:rsidRPr="00834BF0">
              <w:rPr>
                <w:rFonts w:cs="Times New Roman"/>
                <w:b/>
                <w:sz w:val="19"/>
                <w:szCs w:val="19"/>
              </w:rPr>
              <w:t>Australian Capital Territory</w:t>
            </w:r>
          </w:p>
        </w:tc>
        <w:tc>
          <w:tcPr>
            <w:tcW w:w="0" w:type="auto"/>
            <w:shd w:val="clear" w:color="auto" w:fill="D9D9D9"/>
          </w:tcPr>
          <w:p w14:paraId="178A2772" w14:textId="77777777" w:rsidR="00030303" w:rsidRPr="00834BF0" w:rsidRDefault="00030303" w:rsidP="00030303">
            <w:pPr>
              <w:rPr>
                <w:rFonts w:cs="Times New Roman"/>
                <w:b/>
                <w:sz w:val="19"/>
                <w:szCs w:val="19"/>
              </w:rPr>
            </w:pPr>
            <w:r w:rsidRPr="00834BF0">
              <w:rPr>
                <w:rFonts w:cs="Times New Roman"/>
                <w:b/>
                <w:sz w:val="19"/>
                <w:szCs w:val="19"/>
              </w:rPr>
              <w:t>New South Wales</w:t>
            </w:r>
          </w:p>
        </w:tc>
        <w:tc>
          <w:tcPr>
            <w:tcW w:w="0" w:type="auto"/>
            <w:shd w:val="clear" w:color="auto" w:fill="D9D9D9"/>
          </w:tcPr>
          <w:p w14:paraId="2A180FB1" w14:textId="77777777" w:rsidR="00030303" w:rsidRPr="00834BF0" w:rsidRDefault="00030303" w:rsidP="00030303">
            <w:pPr>
              <w:rPr>
                <w:rFonts w:cs="Times New Roman"/>
                <w:b/>
                <w:sz w:val="19"/>
                <w:szCs w:val="19"/>
              </w:rPr>
            </w:pPr>
            <w:r w:rsidRPr="00834BF0">
              <w:rPr>
                <w:rFonts w:cs="Times New Roman"/>
                <w:b/>
                <w:sz w:val="19"/>
                <w:szCs w:val="19"/>
              </w:rPr>
              <w:t>Northern Territory</w:t>
            </w:r>
          </w:p>
        </w:tc>
        <w:tc>
          <w:tcPr>
            <w:tcW w:w="0" w:type="auto"/>
            <w:shd w:val="clear" w:color="auto" w:fill="D9D9D9"/>
          </w:tcPr>
          <w:p w14:paraId="781EB384" w14:textId="77777777" w:rsidR="00030303" w:rsidRPr="00834BF0" w:rsidRDefault="00030303" w:rsidP="00030303">
            <w:pPr>
              <w:rPr>
                <w:rFonts w:cs="Times New Roman"/>
                <w:b/>
                <w:sz w:val="19"/>
                <w:szCs w:val="19"/>
              </w:rPr>
            </w:pPr>
            <w:r w:rsidRPr="00834BF0">
              <w:rPr>
                <w:rFonts w:cs="Times New Roman"/>
                <w:b/>
                <w:sz w:val="19"/>
                <w:szCs w:val="19"/>
              </w:rPr>
              <w:t>Queensland</w:t>
            </w:r>
          </w:p>
        </w:tc>
        <w:tc>
          <w:tcPr>
            <w:tcW w:w="0" w:type="auto"/>
            <w:shd w:val="clear" w:color="auto" w:fill="D9D9D9"/>
          </w:tcPr>
          <w:p w14:paraId="4CD9D453" w14:textId="77777777" w:rsidR="00030303" w:rsidRPr="00834BF0" w:rsidRDefault="00030303" w:rsidP="00030303">
            <w:pPr>
              <w:rPr>
                <w:rFonts w:cs="Times New Roman"/>
                <w:b/>
                <w:sz w:val="19"/>
                <w:szCs w:val="19"/>
              </w:rPr>
            </w:pPr>
            <w:r w:rsidRPr="00834BF0">
              <w:rPr>
                <w:rFonts w:cs="Times New Roman"/>
                <w:b/>
                <w:sz w:val="19"/>
                <w:szCs w:val="19"/>
              </w:rPr>
              <w:t>South Australia</w:t>
            </w:r>
          </w:p>
        </w:tc>
        <w:tc>
          <w:tcPr>
            <w:tcW w:w="0" w:type="auto"/>
            <w:shd w:val="clear" w:color="auto" w:fill="D9D9D9"/>
          </w:tcPr>
          <w:p w14:paraId="5BB35A47" w14:textId="77777777" w:rsidR="00030303" w:rsidRPr="00834BF0" w:rsidRDefault="00030303" w:rsidP="00030303">
            <w:pPr>
              <w:rPr>
                <w:rFonts w:cs="Times New Roman"/>
                <w:b/>
                <w:sz w:val="19"/>
                <w:szCs w:val="19"/>
              </w:rPr>
            </w:pPr>
            <w:r w:rsidRPr="00834BF0">
              <w:rPr>
                <w:rFonts w:cs="Times New Roman"/>
                <w:b/>
                <w:sz w:val="19"/>
                <w:szCs w:val="19"/>
              </w:rPr>
              <w:t>Tasmania</w:t>
            </w:r>
          </w:p>
        </w:tc>
        <w:tc>
          <w:tcPr>
            <w:tcW w:w="0" w:type="auto"/>
            <w:shd w:val="clear" w:color="auto" w:fill="D9D9D9"/>
          </w:tcPr>
          <w:p w14:paraId="0A9B45BD" w14:textId="77777777" w:rsidR="00030303" w:rsidRPr="00834BF0" w:rsidRDefault="00030303" w:rsidP="00030303">
            <w:pPr>
              <w:rPr>
                <w:rFonts w:cs="Times New Roman"/>
                <w:b/>
                <w:sz w:val="19"/>
                <w:szCs w:val="19"/>
              </w:rPr>
            </w:pPr>
            <w:r w:rsidRPr="00834BF0">
              <w:rPr>
                <w:rFonts w:cs="Times New Roman"/>
                <w:b/>
                <w:sz w:val="19"/>
                <w:szCs w:val="19"/>
              </w:rPr>
              <w:t>Victoria</w:t>
            </w:r>
          </w:p>
        </w:tc>
        <w:tc>
          <w:tcPr>
            <w:tcW w:w="0" w:type="auto"/>
            <w:shd w:val="clear" w:color="auto" w:fill="D9D9D9"/>
          </w:tcPr>
          <w:p w14:paraId="01CF2560" w14:textId="77777777" w:rsidR="00030303" w:rsidRPr="00834BF0" w:rsidRDefault="00030303" w:rsidP="00030303">
            <w:pPr>
              <w:rPr>
                <w:rFonts w:cs="Times New Roman"/>
                <w:b/>
                <w:sz w:val="19"/>
                <w:szCs w:val="19"/>
              </w:rPr>
            </w:pPr>
            <w:r w:rsidRPr="00834BF0">
              <w:rPr>
                <w:rFonts w:cs="Times New Roman"/>
                <w:b/>
                <w:sz w:val="19"/>
                <w:szCs w:val="19"/>
              </w:rPr>
              <w:t>Western Australia</w:t>
            </w:r>
          </w:p>
        </w:tc>
      </w:tr>
      <w:tr w:rsidR="00030303" w:rsidRPr="00834BF0" w14:paraId="1F54F0C3" w14:textId="77777777" w:rsidTr="00030303">
        <w:tc>
          <w:tcPr>
            <w:tcW w:w="0" w:type="auto"/>
          </w:tcPr>
          <w:p w14:paraId="6FE22594" w14:textId="77777777" w:rsidR="00030303" w:rsidRPr="00834BF0" w:rsidRDefault="00030303" w:rsidP="00030303">
            <w:pPr>
              <w:rPr>
                <w:rFonts w:cs="Times New Roman"/>
                <w:b/>
                <w:sz w:val="19"/>
                <w:szCs w:val="19"/>
              </w:rPr>
            </w:pPr>
            <w:r w:rsidRPr="00834BF0">
              <w:rPr>
                <w:rFonts w:cs="Times New Roman"/>
                <w:b/>
                <w:sz w:val="19"/>
                <w:szCs w:val="19"/>
              </w:rPr>
              <w:t>Primary disability services legislation</w:t>
            </w:r>
          </w:p>
        </w:tc>
        <w:tc>
          <w:tcPr>
            <w:tcW w:w="0" w:type="auto"/>
          </w:tcPr>
          <w:p w14:paraId="51C8A4CF" w14:textId="77777777" w:rsidR="00030303" w:rsidRPr="00834BF0" w:rsidRDefault="00030303" w:rsidP="00030303">
            <w:pPr>
              <w:rPr>
                <w:rFonts w:cs="Times New Roman"/>
                <w:i/>
                <w:sz w:val="19"/>
                <w:szCs w:val="19"/>
              </w:rPr>
            </w:pPr>
            <w:r w:rsidRPr="00834BF0">
              <w:rPr>
                <w:rFonts w:eastAsia="Times New Roman" w:cs="Times New Roman"/>
                <w:i/>
                <w:sz w:val="19"/>
                <w:szCs w:val="19"/>
                <w:lang w:eastAsia="en-AU"/>
              </w:rPr>
              <w:t xml:space="preserve">Disability Services Act 1991 </w:t>
            </w:r>
            <w:r w:rsidRPr="00834BF0">
              <w:rPr>
                <w:rFonts w:eastAsia="Times New Roman" w:cs="Times New Roman"/>
                <w:sz w:val="19"/>
                <w:szCs w:val="19"/>
                <w:lang w:eastAsia="en-AU"/>
              </w:rPr>
              <w:t>(ACT)</w:t>
            </w:r>
          </w:p>
        </w:tc>
        <w:tc>
          <w:tcPr>
            <w:tcW w:w="0" w:type="auto"/>
          </w:tcPr>
          <w:p w14:paraId="196769C0" w14:textId="77777777" w:rsidR="00030303" w:rsidRPr="00834BF0" w:rsidRDefault="00030303" w:rsidP="00030303">
            <w:pPr>
              <w:rPr>
                <w:rFonts w:cs="Times New Roman"/>
                <w:i/>
                <w:sz w:val="19"/>
                <w:szCs w:val="19"/>
              </w:rPr>
            </w:pPr>
            <w:r w:rsidRPr="00834BF0">
              <w:rPr>
                <w:rFonts w:eastAsia="Times New Roman" w:cs="Times New Roman"/>
                <w:i/>
                <w:sz w:val="19"/>
                <w:szCs w:val="19"/>
                <w:lang w:eastAsia="en-AU"/>
              </w:rPr>
              <w:t xml:space="preserve">Disability Inclusion Act 2014 </w:t>
            </w:r>
            <w:r w:rsidRPr="00834BF0">
              <w:rPr>
                <w:rFonts w:eastAsia="Times New Roman" w:cs="Times New Roman"/>
                <w:sz w:val="19"/>
                <w:szCs w:val="19"/>
                <w:lang w:eastAsia="en-AU"/>
              </w:rPr>
              <w:t>(NSW)</w:t>
            </w:r>
          </w:p>
        </w:tc>
        <w:tc>
          <w:tcPr>
            <w:tcW w:w="0" w:type="auto"/>
          </w:tcPr>
          <w:p w14:paraId="2F50A858" w14:textId="77777777" w:rsidR="00030303" w:rsidRPr="00834BF0" w:rsidRDefault="00030303" w:rsidP="00030303">
            <w:pPr>
              <w:rPr>
                <w:rFonts w:cs="Times New Roman"/>
                <w:sz w:val="19"/>
                <w:szCs w:val="19"/>
              </w:rPr>
            </w:pPr>
            <w:r w:rsidRPr="00834BF0">
              <w:rPr>
                <w:rFonts w:cs="Times New Roman"/>
                <w:i/>
                <w:sz w:val="19"/>
                <w:szCs w:val="19"/>
              </w:rPr>
              <w:t>Disability Services Act 1993</w:t>
            </w:r>
            <w:r w:rsidRPr="00834BF0">
              <w:rPr>
                <w:rFonts w:cs="Times New Roman"/>
                <w:sz w:val="19"/>
                <w:szCs w:val="19"/>
              </w:rPr>
              <w:t xml:space="preserve"> (NT)</w:t>
            </w:r>
          </w:p>
        </w:tc>
        <w:tc>
          <w:tcPr>
            <w:tcW w:w="0" w:type="auto"/>
          </w:tcPr>
          <w:p w14:paraId="4456F749" w14:textId="77777777" w:rsidR="00030303" w:rsidRPr="00834BF0" w:rsidRDefault="00030303" w:rsidP="00030303">
            <w:pPr>
              <w:rPr>
                <w:rFonts w:cs="Times New Roman"/>
                <w:i/>
                <w:sz w:val="19"/>
                <w:szCs w:val="19"/>
              </w:rPr>
            </w:pPr>
            <w:r w:rsidRPr="00834BF0">
              <w:rPr>
                <w:rFonts w:eastAsia="Times New Roman" w:cs="Times New Roman"/>
                <w:i/>
                <w:sz w:val="19"/>
                <w:szCs w:val="19"/>
                <w:lang w:eastAsia="en-AU"/>
              </w:rPr>
              <w:t xml:space="preserve">Disability Services Act 2006 </w:t>
            </w:r>
            <w:r w:rsidRPr="00834BF0">
              <w:rPr>
                <w:rFonts w:eastAsia="Times New Roman" w:cs="Times New Roman"/>
                <w:sz w:val="19"/>
                <w:szCs w:val="19"/>
                <w:lang w:eastAsia="en-AU"/>
              </w:rPr>
              <w:t>(Qld)</w:t>
            </w:r>
            <w:r w:rsidRPr="00834BF0">
              <w:rPr>
                <w:rFonts w:eastAsia="Times New Roman" w:cs="Times New Roman"/>
                <w:i/>
                <w:sz w:val="19"/>
                <w:szCs w:val="19"/>
                <w:lang w:eastAsia="en-AU"/>
              </w:rPr>
              <w:t xml:space="preserve"> </w:t>
            </w:r>
          </w:p>
        </w:tc>
        <w:tc>
          <w:tcPr>
            <w:tcW w:w="0" w:type="auto"/>
          </w:tcPr>
          <w:p w14:paraId="575971A7" w14:textId="77777777" w:rsidR="00030303" w:rsidRPr="00834BF0" w:rsidRDefault="00030303" w:rsidP="00030303">
            <w:pPr>
              <w:rPr>
                <w:rFonts w:cs="Times New Roman"/>
                <w:i/>
                <w:sz w:val="19"/>
                <w:szCs w:val="19"/>
              </w:rPr>
            </w:pPr>
            <w:r w:rsidRPr="00834BF0">
              <w:rPr>
                <w:rFonts w:eastAsia="Times New Roman" w:cs="Times New Roman"/>
                <w:i/>
                <w:sz w:val="19"/>
                <w:szCs w:val="19"/>
                <w:lang w:eastAsia="en-AU"/>
              </w:rPr>
              <w:t xml:space="preserve">Disability Inclusion Act 2018 </w:t>
            </w:r>
            <w:r w:rsidRPr="00834BF0">
              <w:rPr>
                <w:rFonts w:eastAsia="Times New Roman" w:cs="Times New Roman"/>
                <w:sz w:val="19"/>
                <w:szCs w:val="19"/>
                <w:lang w:eastAsia="en-AU"/>
              </w:rPr>
              <w:t>(SA)</w:t>
            </w:r>
          </w:p>
        </w:tc>
        <w:tc>
          <w:tcPr>
            <w:tcW w:w="0" w:type="auto"/>
          </w:tcPr>
          <w:p w14:paraId="1D69EE1C" w14:textId="77777777" w:rsidR="00030303" w:rsidRPr="00834BF0" w:rsidRDefault="00030303" w:rsidP="00030303">
            <w:pPr>
              <w:rPr>
                <w:rFonts w:cs="Times New Roman"/>
                <w:i/>
                <w:sz w:val="19"/>
                <w:szCs w:val="19"/>
              </w:rPr>
            </w:pPr>
            <w:r w:rsidRPr="00834BF0">
              <w:rPr>
                <w:rFonts w:eastAsia="Times New Roman" w:cs="Times New Roman"/>
                <w:i/>
                <w:sz w:val="19"/>
                <w:szCs w:val="19"/>
                <w:lang w:eastAsia="en-AU"/>
              </w:rPr>
              <w:t xml:space="preserve">Disability Services Act 2011 </w:t>
            </w:r>
            <w:r w:rsidRPr="00834BF0">
              <w:rPr>
                <w:rFonts w:eastAsia="Times New Roman" w:cs="Times New Roman"/>
                <w:sz w:val="19"/>
                <w:szCs w:val="19"/>
                <w:lang w:eastAsia="en-AU"/>
              </w:rPr>
              <w:t>(Tas)</w:t>
            </w:r>
          </w:p>
        </w:tc>
        <w:tc>
          <w:tcPr>
            <w:tcW w:w="0" w:type="auto"/>
          </w:tcPr>
          <w:p w14:paraId="03E064DE" w14:textId="77777777" w:rsidR="00030303" w:rsidRPr="00834BF0" w:rsidRDefault="00030303" w:rsidP="00030303">
            <w:pPr>
              <w:rPr>
                <w:rFonts w:cs="Times New Roman"/>
                <w:i/>
                <w:sz w:val="19"/>
                <w:szCs w:val="19"/>
              </w:rPr>
            </w:pPr>
            <w:r w:rsidRPr="00834BF0">
              <w:rPr>
                <w:rFonts w:eastAsia="Times New Roman" w:cs="Times New Roman"/>
                <w:i/>
                <w:sz w:val="19"/>
                <w:szCs w:val="19"/>
                <w:lang w:eastAsia="en-AU"/>
              </w:rPr>
              <w:t xml:space="preserve">Disability Act 2006 </w:t>
            </w:r>
            <w:r w:rsidRPr="00834BF0">
              <w:rPr>
                <w:rFonts w:eastAsia="Times New Roman" w:cs="Times New Roman"/>
                <w:sz w:val="19"/>
                <w:szCs w:val="19"/>
                <w:lang w:eastAsia="en-AU"/>
              </w:rPr>
              <w:t>(Vic)</w:t>
            </w:r>
          </w:p>
        </w:tc>
        <w:tc>
          <w:tcPr>
            <w:tcW w:w="0" w:type="auto"/>
          </w:tcPr>
          <w:p w14:paraId="528A5112" w14:textId="77777777" w:rsidR="00030303" w:rsidRPr="00834BF0" w:rsidRDefault="00030303" w:rsidP="00030303">
            <w:pPr>
              <w:rPr>
                <w:rFonts w:cs="Times New Roman"/>
                <w:sz w:val="19"/>
                <w:szCs w:val="19"/>
              </w:rPr>
            </w:pPr>
            <w:r w:rsidRPr="00834BF0">
              <w:rPr>
                <w:rFonts w:eastAsia="Times New Roman" w:cs="Times New Roman"/>
                <w:i/>
                <w:sz w:val="19"/>
                <w:szCs w:val="19"/>
                <w:lang w:eastAsia="en-AU"/>
              </w:rPr>
              <w:t>Disability Services Act 1993</w:t>
            </w:r>
            <w:r w:rsidRPr="00834BF0">
              <w:rPr>
                <w:rFonts w:eastAsia="Times New Roman" w:cs="Times New Roman"/>
                <w:sz w:val="19"/>
                <w:szCs w:val="19"/>
                <w:lang w:eastAsia="en-AU"/>
              </w:rPr>
              <w:t xml:space="preserve"> (WA)</w:t>
            </w:r>
          </w:p>
        </w:tc>
      </w:tr>
      <w:tr w:rsidR="00030303" w:rsidRPr="00834BF0" w14:paraId="430F1946" w14:textId="77777777" w:rsidTr="00030303">
        <w:tc>
          <w:tcPr>
            <w:tcW w:w="0" w:type="auto"/>
          </w:tcPr>
          <w:p w14:paraId="18A53EC9" w14:textId="77777777" w:rsidR="00030303" w:rsidRPr="00834BF0" w:rsidRDefault="00030303" w:rsidP="00030303">
            <w:pPr>
              <w:rPr>
                <w:rFonts w:cs="Times New Roman"/>
                <w:b/>
                <w:i/>
                <w:sz w:val="19"/>
                <w:szCs w:val="19"/>
              </w:rPr>
            </w:pPr>
            <w:r w:rsidRPr="00834BF0">
              <w:rPr>
                <w:rFonts w:cs="Times New Roman"/>
                <w:b/>
                <w:sz w:val="19"/>
                <w:szCs w:val="19"/>
              </w:rPr>
              <w:t>Background and overarching purpose - disability services legislation</w:t>
            </w:r>
          </w:p>
        </w:tc>
        <w:tc>
          <w:tcPr>
            <w:tcW w:w="0" w:type="auto"/>
          </w:tcPr>
          <w:p w14:paraId="1666659C" w14:textId="77777777" w:rsidR="00030303" w:rsidRPr="00834BF0" w:rsidRDefault="00030303" w:rsidP="00030303">
            <w:pPr>
              <w:rPr>
                <w:rFonts w:cs="Times New Roman"/>
                <w:sz w:val="19"/>
                <w:szCs w:val="19"/>
              </w:rPr>
            </w:pPr>
            <w:r w:rsidRPr="00834BF0">
              <w:rPr>
                <w:rFonts w:cs="Times New Roman"/>
                <w:sz w:val="19"/>
                <w:szCs w:val="19"/>
              </w:rPr>
              <w:t>Sets quality standards for specialist disability services, including for NDIS providers, and extends the Territory’s existing official visitor scheme to residential institutions.</w:t>
            </w:r>
          </w:p>
        </w:tc>
        <w:tc>
          <w:tcPr>
            <w:tcW w:w="0" w:type="auto"/>
          </w:tcPr>
          <w:p w14:paraId="7154DB2D" w14:textId="77777777" w:rsidR="00030303" w:rsidRPr="00834BF0" w:rsidRDefault="00030303" w:rsidP="00030303">
            <w:pPr>
              <w:rPr>
                <w:rFonts w:eastAsia="Times New Roman" w:cs="Times New Roman"/>
                <w:sz w:val="19"/>
                <w:szCs w:val="19"/>
                <w:lang w:eastAsia="en-AU"/>
              </w:rPr>
            </w:pPr>
            <w:r w:rsidRPr="00834BF0">
              <w:rPr>
                <w:rFonts w:eastAsia="Times New Roman" w:cs="Times New Roman"/>
                <w:sz w:val="19"/>
                <w:szCs w:val="19"/>
                <w:lang w:eastAsia="en-AU"/>
              </w:rPr>
              <w:t>Provides for the funding of specialist disability services. The objects of the Act include:</w:t>
            </w:r>
          </w:p>
          <w:p w14:paraId="5F692E74" w14:textId="77777777" w:rsidR="00030303" w:rsidRPr="00834BF0" w:rsidRDefault="00030303" w:rsidP="00030303">
            <w:pPr>
              <w:numPr>
                <w:ilvl w:val="0"/>
                <w:numId w:val="20"/>
              </w:numPr>
              <w:tabs>
                <w:tab w:val="num" w:pos="369"/>
              </w:tabs>
              <w:spacing w:after="0" w:line="240" w:lineRule="auto"/>
              <w:ind w:left="369" w:hanging="284"/>
              <w:contextualSpacing/>
              <w:rPr>
                <w:rFonts w:eastAsia="Times New Roman" w:cs="Times New Roman"/>
                <w:sz w:val="19"/>
                <w:szCs w:val="19"/>
                <w:lang w:eastAsia="en-AU"/>
              </w:rPr>
            </w:pPr>
            <w:r w:rsidRPr="00834BF0">
              <w:rPr>
                <w:rFonts w:eastAsia="Times New Roman" w:cs="Times New Roman"/>
                <w:sz w:val="19"/>
                <w:szCs w:val="19"/>
                <w:lang w:eastAsia="en-AU"/>
              </w:rPr>
              <w:t xml:space="preserve">providing </w:t>
            </w:r>
            <w:r w:rsidRPr="00834BF0">
              <w:rPr>
                <w:rFonts w:cs="Times New Roman"/>
                <w:sz w:val="19"/>
                <w:szCs w:val="19"/>
              </w:rPr>
              <w:t>safeguards</w:t>
            </w:r>
            <w:r w:rsidRPr="00834BF0">
              <w:rPr>
                <w:rFonts w:eastAsia="Times New Roman" w:cs="Times New Roman"/>
                <w:sz w:val="19"/>
                <w:szCs w:val="19"/>
                <w:lang w:eastAsia="en-AU"/>
              </w:rPr>
              <w:t xml:space="preserve"> in relation to the delivery of those supports and services; and</w:t>
            </w:r>
          </w:p>
          <w:p w14:paraId="61280190" w14:textId="77777777" w:rsidR="00030303" w:rsidRPr="00834BF0" w:rsidRDefault="00030303" w:rsidP="00030303">
            <w:pPr>
              <w:numPr>
                <w:ilvl w:val="0"/>
                <w:numId w:val="20"/>
              </w:numPr>
              <w:tabs>
                <w:tab w:val="num" w:pos="369"/>
              </w:tabs>
              <w:spacing w:after="0" w:line="240" w:lineRule="auto"/>
              <w:ind w:left="369" w:hanging="284"/>
              <w:contextualSpacing/>
              <w:rPr>
                <w:rFonts w:eastAsia="Times New Roman" w:cs="Times New Roman"/>
                <w:sz w:val="19"/>
                <w:szCs w:val="19"/>
                <w:lang w:eastAsia="en-AU"/>
              </w:rPr>
            </w:pPr>
            <w:r w:rsidRPr="00834BF0">
              <w:rPr>
                <w:rFonts w:eastAsia="Times New Roman" w:cs="Times New Roman"/>
                <w:sz w:val="19"/>
                <w:szCs w:val="19"/>
                <w:lang w:eastAsia="en-AU"/>
              </w:rPr>
              <w:t xml:space="preserve">providing for the responsibilities of the State during and after the </w:t>
            </w:r>
            <w:r w:rsidRPr="00834BF0">
              <w:rPr>
                <w:rFonts w:eastAsia="Times New Roman" w:cs="Times New Roman"/>
                <w:sz w:val="19"/>
                <w:szCs w:val="19"/>
                <w:lang w:eastAsia="en-AU"/>
              </w:rPr>
              <w:lastRenderedPageBreak/>
              <w:t>transition to the NDIS.</w:t>
            </w:r>
            <w:r w:rsidRPr="00834BF0">
              <w:rPr>
                <w:rFonts w:eastAsia="Times New Roman" w:cs="Times New Roman"/>
                <w:sz w:val="19"/>
                <w:szCs w:val="19"/>
                <w:vertAlign w:val="superscript"/>
                <w:lang w:eastAsia="en-AU"/>
              </w:rPr>
              <w:footnoteReference w:id="77"/>
            </w:r>
            <w:r w:rsidRPr="00834BF0">
              <w:rPr>
                <w:rFonts w:eastAsia="Times New Roman" w:cs="Times New Roman"/>
                <w:sz w:val="19"/>
                <w:szCs w:val="19"/>
                <w:lang w:eastAsia="en-AU"/>
              </w:rPr>
              <w:t xml:space="preserve"> </w:t>
            </w:r>
          </w:p>
          <w:p w14:paraId="56D0E0F4" w14:textId="77777777" w:rsidR="00030303" w:rsidRPr="00834BF0" w:rsidRDefault="00030303" w:rsidP="00030303">
            <w:pPr>
              <w:rPr>
                <w:rFonts w:cs="Times New Roman"/>
                <w:sz w:val="19"/>
                <w:szCs w:val="19"/>
              </w:rPr>
            </w:pPr>
          </w:p>
        </w:tc>
        <w:tc>
          <w:tcPr>
            <w:tcW w:w="0" w:type="auto"/>
          </w:tcPr>
          <w:p w14:paraId="2652E335" w14:textId="77777777" w:rsidR="00030303" w:rsidRPr="00834BF0" w:rsidRDefault="00030303" w:rsidP="00030303">
            <w:pPr>
              <w:rPr>
                <w:rFonts w:cs="Times New Roman"/>
                <w:sz w:val="19"/>
                <w:szCs w:val="19"/>
              </w:rPr>
            </w:pPr>
            <w:r w:rsidRPr="00834BF0">
              <w:rPr>
                <w:rFonts w:cs="Times New Roman"/>
                <w:sz w:val="19"/>
                <w:szCs w:val="19"/>
              </w:rPr>
              <w:lastRenderedPageBreak/>
              <w:t>Deals with the funding of State-based disability services, the treatment and care of certain cognitively impaired patients, and the use of restrictive practices. It also establishes a community visitor scheme for certain State-operated residential services.</w:t>
            </w:r>
          </w:p>
        </w:tc>
        <w:tc>
          <w:tcPr>
            <w:tcW w:w="0" w:type="auto"/>
          </w:tcPr>
          <w:p w14:paraId="54E337AD" w14:textId="77777777" w:rsidR="00030303" w:rsidRPr="00834BF0" w:rsidRDefault="00030303" w:rsidP="00030303">
            <w:pPr>
              <w:rPr>
                <w:rFonts w:cs="Times New Roman"/>
                <w:sz w:val="19"/>
                <w:szCs w:val="19"/>
              </w:rPr>
            </w:pPr>
            <w:r w:rsidRPr="00834BF0">
              <w:rPr>
                <w:rFonts w:cs="Times New Roman"/>
                <w:sz w:val="19"/>
                <w:szCs w:val="19"/>
              </w:rPr>
              <w:t>P</w:t>
            </w:r>
            <w:r w:rsidRPr="00834BF0">
              <w:rPr>
                <w:rFonts w:eastAsia="Times New Roman" w:cs="Times New Roman"/>
                <w:sz w:val="19"/>
                <w:szCs w:val="19"/>
                <w:lang w:eastAsia="en-AU"/>
              </w:rPr>
              <w:t>rovid</w:t>
            </w:r>
            <w:r w:rsidRPr="00834BF0">
              <w:rPr>
                <w:rFonts w:cs="Times New Roman"/>
                <w:sz w:val="19"/>
                <w:szCs w:val="19"/>
              </w:rPr>
              <w:t>es</w:t>
            </w:r>
            <w:r w:rsidRPr="00834BF0">
              <w:rPr>
                <w:rFonts w:eastAsia="Times New Roman" w:cs="Times New Roman"/>
                <w:sz w:val="19"/>
                <w:szCs w:val="19"/>
                <w:lang w:eastAsia="en-AU"/>
              </w:rPr>
              <w:t xml:space="preserve"> for the funding of specialist disability services within Queensland</w:t>
            </w:r>
            <w:r w:rsidRPr="00834BF0">
              <w:rPr>
                <w:rFonts w:cs="Times New Roman"/>
                <w:sz w:val="19"/>
                <w:szCs w:val="19"/>
              </w:rPr>
              <w:t xml:space="preserve"> and </w:t>
            </w:r>
            <w:r w:rsidRPr="00834BF0">
              <w:rPr>
                <w:rFonts w:eastAsia="Times New Roman" w:cs="Times New Roman"/>
                <w:sz w:val="19"/>
                <w:szCs w:val="19"/>
                <w:lang w:eastAsia="en-AU"/>
              </w:rPr>
              <w:t>deals with matters relevant to the provision of services under the NDIS, such as the use of restrictive practices.</w:t>
            </w:r>
          </w:p>
          <w:p w14:paraId="2BDBD65E" w14:textId="77777777" w:rsidR="00030303" w:rsidRPr="00834BF0" w:rsidRDefault="00030303" w:rsidP="00030303">
            <w:pPr>
              <w:rPr>
                <w:rFonts w:eastAsia="Times New Roman" w:cs="Times New Roman"/>
                <w:sz w:val="19"/>
                <w:szCs w:val="19"/>
                <w:lang w:eastAsia="en-AU"/>
              </w:rPr>
            </w:pPr>
            <w:r w:rsidRPr="00834BF0">
              <w:rPr>
                <w:rFonts w:eastAsia="Times New Roman" w:cs="Times New Roman"/>
                <w:sz w:val="19"/>
                <w:szCs w:val="19"/>
                <w:lang w:eastAsia="en-AU"/>
              </w:rPr>
              <w:t>The objects of the Act include:</w:t>
            </w:r>
          </w:p>
          <w:p w14:paraId="2BBBAAEB" w14:textId="77777777" w:rsidR="00030303" w:rsidRPr="00834BF0" w:rsidRDefault="00030303" w:rsidP="00030303">
            <w:pPr>
              <w:numPr>
                <w:ilvl w:val="0"/>
                <w:numId w:val="20"/>
              </w:numPr>
              <w:tabs>
                <w:tab w:val="num" w:pos="369"/>
              </w:tabs>
              <w:spacing w:after="0" w:line="240" w:lineRule="auto"/>
              <w:ind w:left="369" w:hanging="284"/>
              <w:contextualSpacing/>
              <w:rPr>
                <w:rFonts w:eastAsia="Times New Roman" w:cs="Times New Roman"/>
                <w:sz w:val="19"/>
                <w:szCs w:val="19"/>
                <w:lang w:eastAsia="en-AU"/>
              </w:rPr>
            </w:pPr>
            <w:r w:rsidRPr="00834BF0">
              <w:rPr>
                <w:rFonts w:eastAsia="Times New Roman" w:cs="Times New Roman"/>
                <w:sz w:val="19"/>
                <w:szCs w:val="19"/>
                <w:lang w:eastAsia="en-AU"/>
              </w:rPr>
              <w:t xml:space="preserve">ensuring that State-funded disability services are safe, </w:t>
            </w:r>
            <w:r w:rsidRPr="00834BF0">
              <w:rPr>
                <w:rFonts w:eastAsia="Times New Roman" w:cs="Times New Roman"/>
                <w:sz w:val="19"/>
                <w:szCs w:val="19"/>
                <w:lang w:eastAsia="en-AU"/>
              </w:rPr>
              <w:lastRenderedPageBreak/>
              <w:t>accountable and respond to the needs of people with disability; and</w:t>
            </w:r>
          </w:p>
          <w:p w14:paraId="5998B9E2" w14:textId="77777777" w:rsidR="00030303" w:rsidRPr="00834BF0" w:rsidRDefault="00030303" w:rsidP="00030303">
            <w:pPr>
              <w:numPr>
                <w:ilvl w:val="0"/>
                <w:numId w:val="20"/>
              </w:numPr>
              <w:tabs>
                <w:tab w:val="num" w:pos="369"/>
              </w:tabs>
              <w:spacing w:after="0" w:line="240" w:lineRule="auto"/>
              <w:ind w:left="369" w:hanging="284"/>
              <w:contextualSpacing/>
              <w:rPr>
                <w:rFonts w:eastAsia="Times New Roman" w:cs="Times New Roman"/>
                <w:sz w:val="19"/>
                <w:szCs w:val="19"/>
                <w:lang w:eastAsia="en-AU"/>
              </w:rPr>
            </w:pPr>
            <w:r w:rsidRPr="00834BF0">
              <w:rPr>
                <w:rFonts w:eastAsia="Times New Roman" w:cs="Times New Roman"/>
                <w:sz w:val="19"/>
                <w:szCs w:val="19"/>
                <w:lang w:eastAsia="en-AU"/>
              </w:rPr>
              <w:t>supporting the operation of the NDIS in Queensland, and ensuring the quality and safety of disability services in that context.</w:t>
            </w:r>
            <w:r w:rsidRPr="00834BF0">
              <w:rPr>
                <w:rFonts w:eastAsia="Times New Roman" w:cs="Times New Roman"/>
                <w:sz w:val="19"/>
                <w:szCs w:val="19"/>
                <w:vertAlign w:val="superscript"/>
                <w:lang w:eastAsia="en-AU"/>
              </w:rPr>
              <w:footnoteReference w:id="78"/>
            </w:r>
            <w:r w:rsidRPr="00834BF0">
              <w:rPr>
                <w:rFonts w:eastAsia="Times New Roman" w:cs="Times New Roman"/>
                <w:sz w:val="19"/>
                <w:szCs w:val="19"/>
                <w:lang w:eastAsia="en-AU"/>
              </w:rPr>
              <w:t xml:space="preserve"> </w:t>
            </w:r>
          </w:p>
          <w:p w14:paraId="531FFC00" w14:textId="77777777" w:rsidR="00030303" w:rsidRPr="00834BF0" w:rsidRDefault="00030303" w:rsidP="00030303">
            <w:pPr>
              <w:rPr>
                <w:rFonts w:cs="Times New Roman"/>
                <w:sz w:val="19"/>
                <w:szCs w:val="19"/>
              </w:rPr>
            </w:pPr>
            <w:r w:rsidRPr="00834BF0">
              <w:rPr>
                <w:rFonts w:eastAsia="Times New Roman" w:cs="Times New Roman"/>
                <w:sz w:val="19"/>
                <w:szCs w:val="19"/>
                <w:lang w:eastAsia="en-AU"/>
              </w:rPr>
              <w:t xml:space="preserve">The Act outlines sets out principles that ‘service providers’ are </w:t>
            </w:r>
            <w:r w:rsidRPr="00834BF0">
              <w:rPr>
                <w:rFonts w:eastAsia="Times New Roman" w:cs="Times New Roman"/>
                <w:sz w:val="19"/>
                <w:szCs w:val="19"/>
                <w:lang w:eastAsia="en-AU"/>
              </w:rPr>
              <w:lastRenderedPageBreak/>
              <w:t>encouraged to promote when developing and implementing services for people with disability.</w:t>
            </w:r>
            <w:r w:rsidRPr="00834BF0">
              <w:rPr>
                <w:rFonts w:eastAsia="Times New Roman" w:cs="Times New Roman"/>
                <w:sz w:val="19"/>
                <w:szCs w:val="19"/>
                <w:vertAlign w:val="superscript"/>
                <w:lang w:eastAsia="en-AU"/>
              </w:rPr>
              <w:footnoteReference w:id="79"/>
            </w:r>
            <w:r w:rsidRPr="00834BF0">
              <w:rPr>
                <w:rFonts w:eastAsia="Times New Roman" w:cs="Times New Roman"/>
                <w:sz w:val="19"/>
                <w:szCs w:val="19"/>
                <w:lang w:eastAsia="en-AU"/>
              </w:rPr>
              <w:t xml:space="preserve"> ‘Service provider’ cover</w:t>
            </w:r>
            <w:r w:rsidRPr="00834BF0">
              <w:rPr>
                <w:rFonts w:cs="Times New Roman"/>
                <w:sz w:val="19"/>
                <w:szCs w:val="19"/>
              </w:rPr>
              <w:t>s</w:t>
            </w:r>
            <w:r w:rsidRPr="00834BF0">
              <w:rPr>
                <w:rFonts w:eastAsia="Times New Roman" w:cs="Times New Roman"/>
                <w:sz w:val="19"/>
                <w:szCs w:val="19"/>
                <w:lang w:eastAsia="en-AU"/>
              </w:rPr>
              <w:t xml:space="preserve"> any entity providing services for people with disability</w:t>
            </w:r>
            <w:r w:rsidRPr="00834BF0">
              <w:rPr>
                <w:rFonts w:cs="Times New Roman"/>
                <w:sz w:val="19"/>
                <w:szCs w:val="19"/>
              </w:rPr>
              <w:t xml:space="preserve">, </w:t>
            </w:r>
            <w:r w:rsidRPr="00834BF0">
              <w:rPr>
                <w:rFonts w:eastAsia="Times New Roman" w:cs="Times New Roman"/>
                <w:sz w:val="19"/>
                <w:szCs w:val="19"/>
                <w:lang w:eastAsia="en-AU"/>
              </w:rPr>
              <w:t>includ</w:t>
            </w:r>
            <w:r w:rsidRPr="00834BF0">
              <w:rPr>
                <w:rFonts w:cs="Times New Roman"/>
                <w:sz w:val="19"/>
                <w:szCs w:val="19"/>
              </w:rPr>
              <w:t>ing</w:t>
            </w:r>
            <w:r w:rsidRPr="00834BF0">
              <w:rPr>
                <w:rFonts w:eastAsia="Times New Roman" w:cs="Times New Roman"/>
                <w:sz w:val="19"/>
                <w:szCs w:val="19"/>
                <w:lang w:eastAsia="en-AU"/>
              </w:rPr>
              <w:t xml:space="preserve"> State-funded providers, certain NDIS providers and registered NDIS providers, and other service providers.</w:t>
            </w:r>
            <w:r w:rsidRPr="00834BF0">
              <w:rPr>
                <w:rFonts w:eastAsia="Times New Roman" w:cs="Times New Roman"/>
                <w:sz w:val="19"/>
                <w:szCs w:val="19"/>
                <w:vertAlign w:val="superscript"/>
                <w:lang w:eastAsia="en-AU"/>
              </w:rPr>
              <w:footnoteReference w:id="80"/>
            </w:r>
            <w:r w:rsidRPr="00834BF0">
              <w:rPr>
                <w:rFonts w:eastAsia="Times New Roman" w:cs="Times New Roman"/>
                <w:sz w:val="19"/>
                <w:szCs w:val="19"/>
                <w:lang w:eastAsia="en-AU"/>
              </w:rPr>
              <w:t xml:space="preserve"> </w:t>
            </w:r>
          </w:p>
        </w:tc>
        <w:tc>
          <w:tcPr>
            <w:tcW w:w="0" w:type="auto"/>
          </w:tcPr>
          <w:p w14:paraId="0D13713B" w14:textId="77777777" w:rsidR="00030303" w:rsidRPr="00834BF0" w:rsidRDefault="00030303" w:rsidP="00030303">
            <w:pPr>
              <w:rPr>
                <w:rFonts w:eastAsia="Times New Roman" w:cs="Times New Roman"/>
                <w:sz w:val="19"/>
                <w:szCs w:val="19"/>
                <w:lang w:eastAsia="en-AU"/>
              </w:rPr>
            </w:pPr>
            <w:r w:rsidRPr="00834BF0">
              <w:rPr>
                <w:rFonts w:eastAsia="Times New Roman" w:cs="Times New Roman"/>
                <w:sz w:val="19"/>
                <w:szCs w:val="19"/>
                <w:lang w:eastAsia="en-AU"/>
              </w:rPr>
              <w:lastRenderedPageBreak/>
              <w:t>South Australia has two pieces of disability services legislation; the</w:t>
            </w:r>
            <w:r w:rsidRPr="00834BF0">
              <w:rPr>
                <w:rFonts w:eastAsia="Times New Roman" w:cs="Times New Roman"/>
                <w:i/>
                <w:sz w:val="19"/>
                <w:szCs w:val="19"/>
                <w:lang w:eastAsia="en-AU"/>
              </w:rPr>
              <w:t xml:space="preserve"> Disability Services Act 1993 </w:t>
            </w:r>
            <w:r w:rsidRPr="00834BF0">
              <w:rPr>
                <w:rFonts w:eastAsia="Times New Roman" w:cs="Times New Roman"/>
                <w:sz w:val="19"/>
                <w:szCs w:val="19"/>
                <w:lang w:eastAsia="en-AU"/>
              </w:rPr>
              <w:t xml:space="preserve">(SA) and </w:t>
            </w:r>
            <w:r w:rsidRPr="00834BF0">
              <w:rPr>
                <w:rFonts w:eastAsia="Times New Roman" w:cs="Times New Roman"/>
                <w:i/>
                <w:sz w:val="19"/>
                <w:szCs w:val="19"/>
                <w:lang w:eastAsia="en-AU"/>
              </w:rPr>
              <w:t xml:space="preserve">Disability Inclusion Act 2018 </w:t>
            </w:r>
            <w:r w:rsidRPr="00834BF0">
              <w:rPr>
                <w:rFonts w:eastAsia="Times New Roman" w:cs="Times New Roman"/>
                <w:sz w:val="19"/>
                <w:szCs w:val="19"/>
                <w:lang w:eastAsia="en-AU"/>
              </w:rPr>
              <w:t xml:space="preserve">(SA). The 1993 Act has been largely superseded by the NDIS. The Act also imposes certain obligations on State-funded disability service providers, and </w:t>
            </w:r>
            <w:r w:rsidRPr="00834BF0">
              <w:rPr>
                <w:rFonts w:eastAsia="Times New Roman" w:cs="Times New Roman"/>
                <w:sz w:val="19"/>
                <w:szCs w:val="19"/>
                <w:lang w:eastAsia="en-AU"/>
              </w:rPr>
              <w:lastRenderedPageBreak/>
              <w:t>on the State, where it is providing services itself (including obligations in relation to safety and welfare procedures, complaints policies and worker screening).</w:t>
            </w:r>
            <w:r w:rsidRPr="00834BF0">
              <w:rPr>
                <w:rFonts w:eastAsia="Times New Roman" w:cs="Times New Roman"/>
                <w:sz w:val="19"/>
                <w:szCs w:val="19"/>
                <w:vertAlign w:val="superscript"/>
                <w:lang w:eastAsia="en-AU"/>
              </w:rPr>
              <w:footnoteReference w:id="81"/>
            </w:r>
            <w:r w:rsidRPr="00834BF0">
              <w:rPr>
                <w:rFonts w:eastAsia="Times New Roman" w:cs="Times New Roman"/>
                <w:sz w:val="19"/>
                <w:szCs w:val="19"/>
                <w:lang w:eastAsia="en-AU"/>
              </w:rPr>
              <w:t xml:space="preserve"> </w:t>
            </w:r>
          </w:p>
          <w:p w14:paraId="3DEBA71F" w14:textId="77777777" w:rsidR="00030303" w:rsidRPr="00834BF0" w:rsidRDefault="00030303" w:rsidP="00030303">
            <w:pPr>
              <w:rPr>
                <w:rFonts w:cs="Times New Roman"/>
                <w:sz w:val="19"/>
                <w:szCs w:val="19"/>
              </w:rPr>
            </w:pPr>
            <w:r w:rsidRPr="00834BF0">
              <w:rPr>
                <w:rFonts w:eastAsia="Times New Roman" w:cs="Times New Roman"/>
                <w:sz w:val="19"/>
                <w:szCs w:val="19"/>
                <w:lang w:eastAsia="en-AU"/>
              </w:rPr>
              <w:t xml:space="preserve">The 2018 Act does not provide for the State-based funding of disability services. Rather, it sets out whole-of-government </w:t>
            </w:r>
            <w:r w:rsidRPr="00834BF0">
              <w:rPr>
                <w:rFonts w:eastAsia="Times New Roman" w:cs="Times New Roman"/>
                <w:sz w:val="19"/>
                <w:szCs w:val="19"/>
                <w:lang w:eastAsia="en-AU"/>
              </w:rPr>
              <w:lastRenderedPageBreak/>
              <w:t xml:space="preserve">disability inclusion obligations, and deals with certain quality and safeguards matters. </w:t>
            </w:r>
          </w:p>
          <w:p w14:paraId="14771D11" w14:textId="77777777" w:rsidR="00030303" w:rsidRPr="00834BF0" w:rsidRDefault="00030303" w:rsidP="00030303">
            <w:pPr>
              <w:rPr>
                <w:rFonts w:eastAsia="Times New Roman" w:cs="Times New Roman"/>
                <w:sz w:val="19"/>
                <w:szCs w:val="19"/>
                <w:lang w:eastAsia="en-AU"/>
              </w:rPr>
            </w:pPr>
            <w:r w:rsidRPr="00834BF0">
              <w:rPr>
                <w:rFonts w:eastAsia="Times New Roman" w:cs="Times New Roman"/>
                <w:sz w:val="19"/>
                <w:szCs w:val="19"/>
                <w:lang w:eastAsia="en-AU"/>
              </w:rPr>
              <w:t>The objects of the 2018 Act include:</w:t>
            </w:r>
          </w:p>
          <w:p w14:paraId="38A2CF9F" w14:textId="77777777" w:rsidR="00030303" w:rsidRPr="00834BF0" w:rsidRDefault="00030303" w:rsidP="00030303">
            <w:pPr>
              <w:numPr>
                <w:ilvl w:val="0"/>
                <w:numId w:val="20"/>
              </w:numPr>
              <w:tabs>
                <w:tab w:val="num" w:pos="369"/>
              </w:tabs>
              <w:spacing w:after="0" w:line="240" w:lineRule="auto"/>
              <w:ind w:left="369" w:hanging="284"/>
              <w:contextualSpacing/>
              <w:rPr>
                <w:rFonts w:eastAsia="Times New Roman" w:cs="Times New Roman"/>
                <w:sz w:val="19"/>
                <w:szCs w:val="19"/>
                <w:lang w:eastAsia="en-AU"/>
              </w:rPr>
            </w:pPr>
            <w:r w:rsidRPr="00834BF0">
              <w:rPr>
                <w:rFonts w:eastAsia="Times New Roman" w:cs="Times New Roman"/>
                <w:sz w:val="19"/>
                <w:szCs w:val="19"/>
                <w:lang w:eastAsia="en-AU"/>
              </w:rPr>
              <w:t xml:space="preserve">providing safeguards in the </w:t>
            </w:r>
            <w:r w:rsidRPr="00834BF0">
              <w:rPr>
                <w:rFonts w:cs="Times New Roman"/>
                <w:sz w:val="19"/>
                <w:szCs w:val="19"/>
              </w:rPr>
              <w:t>delivery</w:t>
            </w:r>
            <w:r w:rsidRPr="00834BF0">
              <w:rPr>
                <w:rFonts w:eastAsia="Times New Roman" w:cs="Times New Roman"/>
                <w:sz w:val="19"/>
                <w:szCs w:val="19"/>
                <w:lang w:eastAsia="en-AU"/>
              </w:rPr>
              <w:t xml:space="preserve"> of supports and services; and</w:t>
            </w:r>
          </w:p>
          <w:p w14:paraId="5903D450" w14:textId="77777777" w:rsidR="00030303" w:rsidRPr="00834BF0" w:rsidRDefault="00030303" w:rsidP="00030303">
            <w:pPr>
              <w:numPr>
                <w:ilvl w:val="0"/>
                <w:numId w:val="20"/>
              </w:numPr>
              <w:tabs>
                <w:tab w:val="num" w:pos="369"/>
              </w:tabs>
              <w:spacing w:after="0" w:line="240" w:lineRule="auto"/>
              <w:ind w:left="369" w:hanging="284"/>
              <w:contextualSpacing/>
              <w:rPr>
                <w:rFonts w:cs="Times New Roman"/>
                <w:sz w:val="19"/>
                <w:szCs w:val="19"/>
              </w:rPr>
            </w:pPr>
            <w:r w:rsidRPr="00834BF0">
              <w:rPr>
                <w:rFonts w:cs="Times New Roman"/>
                <w:sz w:val="19"/>
                <w:szCs w:val="19"/>
              </w:rPr>
              <w:t>articulating</w:t>
            </w:r>
            <w:r w:rsidRPr="00834BF0">
              <w:rPr>
                <w:rFonts w:eastAsia="Times New Roman" w:cs="Times New Roman"/>
                <w:sz w:val="19"/>
                <w:szCs w:val="19"/>
                <w:lang w:eastAsia="en-AU"/>
              </w:rPr>
              <w:t xml:space="preserve"> and facilitating the role of the State during and after the transition </w:t>
            </w:r>
            <w:r w:rsidRPr="00834BF0">
              <w:rPr>
                <w:rFonts w:eastAsia="Times New Roman" w:cs="Times New Roman"/>
                <w:sz w:val="19"/>
                <w:szCs w:val="19"/>
                <w:lang w:eastAsia="en-AU"/>
              </w:rPr>
              <w:lastRenderedPageBreak/>
              <w:t>to the NDIS.</w:t>
            </w:r>
            <w:r w:rsidRPr="00834BF0">
              <w:rPr>
                <w:rFonts w:eastAsia="Times New Roman" w:cs="Times New Roman"/>
                <w:sz w:val="19"/>
                <w:szCs w:val="19"/>
                <w:vertAlign w:val="superscript"/>
                <w:lang w:eastAsia="en-AU"/>
              </w:rPr>
              <w:footnoteReference w:id="82"/>
            </w:r>
            <w:r w:rsidRPr="00834BF0">
              <w:rPr>
                <w:rFonts w:eastAsia="Times New Roman" w:cs="Times New Roman"/>
                <w:sz w:val="19"/>
                <w:szCs w:val="19"/>
                <w:lang w:eastAsia="en-AU"/>
              </w:rPr>
              <w:t xml:space="preserve"> </w:t>
            </w:r>
          </w:p>
        </w:tc>
        <w:tc>
          <w:tcPr>
            <w:tcW w:w="0" w:type="auto"/>
          </w:tcPr>
          <w:p w14:paraId="02F4DAD5" w14:textId="77777777" w:rsidR="00030303" w:rsidRPr="00834BF0" w:rsidRDefault="00030303" w:rsidP="00030303">
            <w:pPr>
              <w:rPr>
                <w:rFonts w:eastAsia="Times New Roman" w:cs="Times New Roman"/>
                <w:sz w:val="19"/>
                <w:szCs w:val="19"/>
                <w:lang w:eastAsia="en-AU"/>
              </w:rPr>
            </w:pPr>
            <w:r w:rsidRPr="00834BF0">
              <w:rPr>
                <w:rFonts w:cs="Times New Roman"/>
                <w:sz w:val="19"/>
                <w:szCs w:val="19"/>
              </w:rPr>
              <w:lastRenderedPageBreak/>
              <w:t>P</w:t>
            </w:r>
            <w:r w:rsidRPr="00834BF0">
              <w:rPr>
                <w:rFonts w:eastAsia="Times New Roman" w:cs="Times New Roman"/>
                <w:sz w:val="19"/>
                <w:szCs w:val="19"/>
                <w:lang w:eastAsia="en-AU"/>
              </w:rPr>
              <w:t xml:space="preserve">rovides (among other things) for the funding and strategic planning of specialist disability services, and the regulation of restrictive practices.  </w:t>
            </w:r>
          </w:p>
          <w:p w14:paraId="067BC1B9" w14:textId="77777777" w:rsidR="00030303" w:rsidRPr="00834BF0" w:rsidRDefault="00030303" w:rsidP="00030303">
            <w:pPr>
              <w:rPr>
                <w:rFonts w:cs="Times New Roman"/>
                <w:sz w:val="19"/>
                <w:szCs w:val="19"/>
              </w:rPr>
            </w:pPr>
          </w:p>
        </w:tc>
        <w:tc>
          <w:tcPr>
            <w:tcW w:w="0" w:type="auto"/>
          </w:tcPr>
          <w:p w14:paraId="54C38D5B" w14:textId="77777777" w:rsidR="00030303" w:rsidRPr="00834BF0" w:rsidRDefault="00030303" w:rsidP="00030303">
            <w:pPr>
              <w:rPr>
                <w:rFonts w:eastAsia="Times New Roman" w:cs="Times New Roman"/>
                <w:sz w:val="19"/>
                <w:szCs w:val="19"/>
                <w:lang w:eastAsia="en-AU"/>
              </w:rPr>
            </w:pPr>
            <w:r w:rsidRPr="00834BF0">
              <w:rPr>
                <w:rFonts w:eastAsia="Times New Roman" w:cs="Times New Roman"/>
                <w:sz w:val="19"/>
                <w:szCs w:val="19"/>
                <w:lang w:eastAsia="en-AU"/>
              </w:rPr>
              <w:t xml:space="preserve">Establishes a range of statutory bodies and offices relevant to the planning and delivery of services to people with disability, and provides for the planning of service delivery at a whole-of-government level. It also deals with the funding of service providers at a State level, as well as regulating residential services, restrictive </w:t>
            </w:r>
            <w:r w:rsidRPr="00834BF0">
              <w:rPr>
                <w:rFonts w:eastAsia="Times New Roman" w:cs="Times New Roman"/>
                <w:sz w:val="19"/>
                <w:szCs w:val="19"/>
                <w:lang w:eastAsia="en-AU"/>
              </w:rPr>
              <w:lastRenderedPageBreak/>
              <w:t xml:space="preserve">practices and other matters. </w:t>
            </w:r>
          </w:p>
          <w:p w14:paraId="6D12C0E6" w14:textId="77777777" w:rsidR="00030303" w:rsidRPr="00834BF0" w:rsidRDefault="00030303" w:rsidP="00030303">
            <w:pPr>
              <w:rPr>
                <w:rFonts w:cs="Times New Roman"/>
                <w:sz w:val="19"/>
                <w:szCs w:val="19"/>
              </w:rPr>
            </w:pPr>
          </w:p>
        </w:tc>
        <w:tc>
          <w:tcPr>
            <w:tcW w:w="0" w:type="auto"/>
          </w:tcPr>
          <w:p w14:paraId="037F3B35" w14:textId="77777777" w:rsidR="00030303" w:rsidRPr="00834BF0" w:rsidRDefault="00030303" w:rsidP="00030303">
            <w:pPr>
              <w:rPr>
                <w:rFonts w:cs="Times New Roman"/>
                <w:sz w:val="19"/>
                <w:szCs w:val="19"/>
              </w:rPr>
            </w:pPr>
            <w:r w:rsidRPr="00834BF0">
              <w:rPr>
                <w:rFonts w:cs="Times New Roman"/>
                <w:sz w:val="19"/>
                <w:szCs w:val="19"/>
              </w:rPr>
              <w:lastRenderedPageBreak/>
              <w:t xml:space="preserve">Western Australia is the most recent jurisdiction to reach full scheme status for the NDIS. Initially, Western Australia implemented a trial version of the individual funding model used under the NDIS, funded and administered by the State under the </w:t>
            </w:r>
            <w:r w:rsidRPr="00834BF0">
              <w:rPr>
                <w:rFonts w:cs="Times New Roman"/>
                <w:i/>
                <w:sz w:val="19"/>
                <w:szCs w:val="19"/>
              </w:rPr>
              <w:t xml:space="preserve">Disability Services Act 1993 </w:t>
            </w:r>
            <w:r w:rsidRPr="00834BF0">
              <w:rPr>
                <w:rFonts w:cs="Times New Roman"/>
                <w:sz w:val="19"/>
                <w:szCs w:val="19"/>
              </w:rPr>
              <w:t xml:space="preserve">(WA). </w:t>
            </w:r>
            <w:r w:rsidRPr="00834BF0">
              <w:rPr>
                <w:rFonts w:cs="Times New Roman"/>
                <w:sz w:val="19"/>
                <w:szCs w:val="19"/>
              </w:rPr>
              <w:lastRenderedPageBreak/>
              <w:t>However, the State subsequently committed to joining the national NDIS, and Western Australia is now primarily regulated under the NDIS.</w:t>
            </w:r>
          </w:p>
        </w:tc>
      </w:tr>
      <w:tr w:rsidR="00030303" w:rsidRPr="00834BF0" w14:paraId="10527B33" w14:textId="77777777" w:rsidTr="00030303">
        <w:tc>
          <w:tcPr>
            <w:tcW w:w="0" w:type="auto"/>
          </w:tcPr>
          <w:p w14:paraId="35497509" w14:textId="77777777" w:rsidR="00030303" w:rsidRPr="00834BF0" w:rsidRDefault="00030303" w:rsidP="00030303">
            <w:pPr>
              <w:rPr>
                <w:rFonts w:cs="Times New Roman"/>
                <w:b/>
                <w:sz w:val="19"/>
                <w:szCs w:val="19"/>
              </w:rPr>
            </w:pPr>
            <w:r w:rsidRPr="00834BF0">
              <w:rPr>
                <w:rFonts w:cs="Times New Roman"/>
                <w:b/>
                <w:sz w:val="19"/>
                <w:szCs w:val="19"/>
              </w:rPr>
              <w:lastRenderedPageBreak/>
              <w:t>Prescription of standards - disability services legislation</w:t>
            </w:r>
          </w:p>
        </w:tc>
        <w:tc>
          <w:tcPr>
            <w:tcW w:w="0" w:type="auto"/>
          </w:tcPr>
          <w:p w14:paraId="5E1BB59B" w14:textId="77777777" w:rsidR="00030303" w:rsidRPr="00834BF0" w:rsidRDefault="00030303" w:rsidP="00030303">
            <w:pPr>
              <w:rPr>
                <w:rFonts w:cs="Times New Roman"/>
                <w:sz w:val="19"/>
                <w:szCs w:val="19"/>
              </w:rPr>
            </w:pPr>
            <w:r w:rsidRPr="00834BF0">
              <w:rPr>
                <w:rFonts w:cs="Times New Roman"/>
                <w:sz w:val="19"/>
                <w:szCs w:val="19"/>
              </w:rPr>
              <w:t>The Minister can approve standards about the provision of specialist disability services by specialist disability services providers.</w:t>
            </w:r>
            <w:r w:rsidRPr="00834BF0">
              <w:rPr>
                <w:rFonts w:cs="Times New Roman"/>
                <w:sz w:val="19"/>
                <w:szCs w:val="19"/>
                <w:vertAlign w:val="superscript"/>
              </w:rPr>
              <w:footnoteReference w:id="83"/>
            </w:r>
            <w:r w:rsidRPr="00834BF0">
              <w:rPr>
                <w:rFonts w:cs="Times New Roman"/>
                <w:sz w:val="19"/>
                <w:szCs w:val="19"/>
              </w:rPr>
              <w:t xml:space="preserve"> ‘Specialist disability service providers’ are persons or entities (other than the Territory) that provide specialist disability services, subject to certain </w:t>
            </w:r>
            <w:r w:rsidRPr="00834BF0">
              <w:rPr>
                <w:rFonts w:cs="Times New Roman"/>
                <w:sz w:val="19"/>
                <w:szCs w:val="19"/>
              </w:rPr>
              <w:lastRenderedPageBreak/>
              <w:t>exclusions (</w:t>
            </w:r>
            <w:proofErr w:type="spellStart"/>
            <w:r w:rsidRPr="00834BF0">
              <w:rPr>
                <w:rFonts w:cs="Times New Roman"/>
                <w:sz w:val="19"/>
                <w:szCs w:val="19"/>
              </w:rPr>
              <w:t>eg</w:t>
            </w:r>
            <w:proofErr w:type="spellEnd"/>
            <w:r w:rsidRPr="00834BF0">
              <w:rPr>
                <w:rFonts w:cs="Times New Roman"/>
                <w:sz w:val="19"/>
                <w:szCs w:val="19"/>
              </w:rPr>
              <w:t>, close relatives).</w:t>
            </w:r>
            <w:r w:rsidRPr="00834BF0">
              <w:rPr>
                <w:rFonts w:cs="Times New Roman"/>
                <w:sz w:val="19"/>
                <w:szCs w:val="19"/>
                <w:vertAlign w:val="superscript"/>
              </w:rPr>
              <w:footnoteReference w:id="84"/>
            </w:r>
            <w:r w:rsidRPr="00834BF0">
              <w:rPr>
                <w:rFonts w:cs="Times New Roman"/>
                <w:sz w:val="19"/>
                <w:szCs w:val="19"/>
              </w:rPr>
              <w:t xml:space="preserve"> ‘Specialist disability services’ are services that are declared by the Minister and provided specifically for people with disability.</w:t>
            </w:r>
            <w:r w:rsidRPr="00834BF0">
              <w:rPr>
                <w:rFonts w:cs="Times New Roman"/>
                <w:sz w:val="19"/>
                <w:szCs w:val="19"/>
                <w:vertAlign w:val="superscript"/>
              </w:rPr>
              <w:footnoteReference w:id="85"/>
            </w:r>
            <w:r w:rsidRPr="00834BF0">
              <w:rPr>
                <w:rFonts w:cs="Times New Roman"/>
                <w:sz w:val="19"/>
                <w:szCs w:val="19"/>
              </w:rPr>
              <w:t xml:space="preserve"> The relevant service types are set out in</w:t>
            </w:r>
            <w:r w:rsidRPr="00834BF0">
              <w:rPr>
                <w:rFonts w:cs="Times New Roman"/>
                <w:i/>
                <w:sz w:val="19"/>
                <w:szCs w:val="19"/>
              </w:rPr>
              <w:t xml:space="preserve"> Disability Services (Specialist Disability Service Types) Declaration 2014 (No 1), </w:t>
            </w:r>
            <w:r w:rsidRPr="00834BF0">
              <w:rPr>
                <w:rFonts w:cs="Times New Roman"/>
                <w:sz w:val="19"/>
                <w:szCs w:val="19"/>
              </w:rPr>
              <w:t xml:space="preserve">and include a range of services provided under the NDIS. </w:t>
            </w:r>
          </w:p>
          <w:p w14:paraId="6812E541" w14:textId="77777777" w:rsidR="00030303" w:rsidRPr="00834BF0" w:rsidRDefault="00030303" w:rsidP="00030303">
            <w:pPr>
              <w:rPr>
                <w:rFonts w:cs="Times New Roman"/>
                <w:sz w:val="19"/>
                <w:szCs w:val="19"/>
              </w:rPr>
            </w:pPr>
            <w:r w:rsidRPr="00834BF0">
              <w:rPr>
                <w:rFonts w:cs="Times New Roman"/>
                <w:sz w:val="19"/>
                <w:szCs w:val="19"/>
              </w:rPr>
              <w:lastRenderedPageBreak/>
              <w:t xml:space="preserve">The standards are set out in the </w:t>
            </w:r>
            <w:r w:rsidRPr="00834BF0">
              <w:rPr>
                <w:rFonts w:cs="Times New Roman"/>
                <w:i/>
                <w:sz w:val="19"/>
                <w:szCs w:val="19"/>
              </w:rPr>
              <w:t>Disability Services (Standards) Declaration 2014 (No 1)</w:t>
            </w:r>
            <w:r w:rsidRPr="00834BF0">
              <w:rPr>
                <w:rFonts w:cs="Times New Roman"/>
                <w:sz w:val="19"/>
                <w:szCs w:val="19"/>
              </w:rPr>
              <w:t>. There a number of generally applicable standards requiring providers to maintain relevant insurance, ensure that staff are fit and proper persons, institute feedback and complaints procedures, notify the Director-General of certain matters, and handle personal information appropriately.</w:t>
            </w:r>
            <w:r w:rsidRPr="00834BF0">
              <w:rPr>
                <w:rFonts w:cs="Times New Roman"/>
                <w:sz w:val="19"/>
                <w:szCs w:val="19"/>
                <w:vertAlign w:val="superscript"/>
              </w:rPr>
              <w:footnoteReference w:id="86"/>
            </w:r>
            <w:r w:rsidRPr="00834BF0">
              <w:rPr>
                <w:rFonts w:cs="Times New Roman"/>
                <w:sz w:val="19"/>
                <w:szCs w:val="19"/>
              </w:rPr>
              <w:t xml:space="preserve"> </w:t>
            </w:r>
            <w:r w:rsidRPr="00834BF0">
              <w:rPr>
                <w:rFonts w:cs="Times New Roman"/>
                <w:sz w:val="19"/>
                <w:szCs w:val="19"/>
              </w:rPr>
              <w:lastRenderedPageBreak/>
              <w:t>Schedule 1 of the instrument then sets out further national standards that apply to particular types of services.</w:t>
            </w:r>
            <w:r w:rsidRPr="00834BF0">
              <w:rPr>
                <w:rFonts w:cs="Times New Roman"/>
                <w:sz w:val="19"/>
                <w:szCs w:val="19"/>
                <w:vertAlign w:val="superscript"/>
              </w:rPr>
              <w:footnoteReference w:id="87"/>
            </w:r>
            <w:r w:rsidRPr="00834BF0">
              <w:rPr>
                <w:rFonts w:cs="Times New Roman"/>
                <w:sz w:val="19"/>
                <w:szCs w:val="19"/>
              </w:rPr>
              <w:t xml:space="preserve"> </w:t>
            </w:r>
          </w:p>
          <w:p w14:paraId="37F1E8AC" w14:textId="77777777" w:rsidR="00030303" w:rsidRPr="00834BF0" w:rsidRDefault="00030303" w:rsidP="00030303">
            <w:pPr>
              <w:rPr>
                <w:rFonts w:cs="Times New Roman"/>
                <w:sz w:val="19"/>
                <w:szCs w:val="19"/>
              </w:rPr>
            </w:pPr>
            <w:r w:rsidRPr="00834BF0">
              <w:rPr>
                <w:rFonts w:cs="Times New Roman"/>
                <w:sz w:val="19"/>
                <w:szCs w:val="19"/>
              </w:rPr>
              <w:t>These standards were designed to provide interim quality and safeguards arrangements during the transition to the NDIS,</w:t>
            </w:r>
            <w:r w:rsidRPr="00834BF0">
              <w:rPr>
                <w:rFonts w:cs="Times New Roman"/>
                <w:sz w:val="19"/>
                <w:szCs w:val="19"/>
                <w:vertAlign w:val="superscript"/>
              </w:rPr>
              <w:footnoteReference w:id="88"/>
            </w:r>
            <w:r w:rsidRPr="00834BF0">
              <w:rPr>
                <w:rFonts w:cs="Times New Roman"/>
                <w:sz w:val="19"/>
                <w:szCs w:val="19"/>
              </w:rPr>
              <w:t xml:space="preserve"> but they remain in force.  </w:t>
            </w:r>
          </w:p>
          <w:p w14:paraId="5677E434" w14:textId="77777777" w:rsidR="00030303" w:rsidRPr="00834BF0" w:rsidRDefault="00030303" w:rsidP="00030303">
            <w:pPr>
              <w:rPr>
                <w:rFonts w:cs="Times New Roman"/>
                <w:sz w:val="19"/>
                <w:szCs w:val="19"/>
              </w:rPr>
            </w:pPr>
          </w:p>
        </w:tc>
        <w:tc>
          <w:tcPr>
            <w:tcW w:w="0" w:type="auto"/>
          </w:tcPr>
          <w:p w14:paraId="507A70F0" w14:textId="77777777" w:rsidR="00030303" w:rsidRPr="00834BF0" w:rsidRDefault="00030303" w:rsidP="00030303">
            <w:pPr>
              <w:rPr>
                <w:rFonts w:cs="Times New Roman"/>
                <w:sz w:val="19"/>
                <w:szCs w:val="19"/>
              </w:rPr>
            </w:pPr>
            <w:r w:rsidRPr="00834BF0">
              <w:rPr>
                <w:rFonts w:cs="Times New Roman"/>
                <w:sz w:val="19"/>
                <w:szCs w:val="19"/>
              </w:rPr>
              <w:lastRenderedPageBreak/>
              <w:t>Part 4 provides for the making of regulations setting out standards relating to the provision of supports and services for people with disability.</w:t>
            </w:r>
            <w:r w:rsidRPr="00834BF0">
              <w:rPr>
                <w:rFonts w:cs="Times New Roman"/>
                <w:sz w:val="19"/>
                <w:szCs w:val="19"/>
                <w:vertAlign w:val="superscript"/>
              </w:rPr>
              <w:footnoteReference w:id="89"/>
            </w:r>
            <w:r w:rsidRPr="00834BF0">
              <w:rPr>
                <w:rFonts w:cs="Times New Roman"/>
                <w:sz w:val="19"/>
                <w:szCs w:val="19"/>
              </w:rPr>
              <w:t xml:space="preserve"> Compliance with those standards is a condition of State funding for certain entities under Part 5.</w:t>
            </w:r>
            <w:r w:rsidRPr="00834BF0">
              <w:rPr>
                <w:rFonts w:cs="Times New Roman"/>
                <w:sz w:val="19"/>
                <w:szCs w:val="19"/>
                <w:vertAlign w:val="superscript"/>
              </w:rPr>
              <w:footnoteReference w:id="90"/>
            </w:r>
          </w:p>
          <w:p w14:paraId="044B7D0F" w14:textId="77777777" w:rsidR="00030303" w:rsidRPr="00834BF0" w:rsidRDefault="00030303" w:rsidP="00030303">
            <w:pPr>
              <w:rPr>
                <w:rFonts w:cs="Times New Roman"/>
                <w:sz w:val="19"/>
                <w:szCs w:val="19"/>
              </w:rPr>
            </w:pPr>
          </w:p>
          <w:p w14:paraId="5F096211" w14:textId="77777777" w:rsidR="00030303" w:rsidRPr="00834BF0" w:rsidRDefault="00030303" w:rsidP="00030303">
            <w:pPr>
              <w:rPr>
                <w:rFonts w:cs="Times New Roman"/>
                <w:sz w:val="19"/>
                <w:szCs w:val="19"/>
              </w:rPr>
            </w:pPr>
            <w:r w:rsidRPr="00834BF0">
              <w:rPr>
                <w:rFonts w:cs="Times New Roman"/>
                <w:sz w:val="19"/>
                <w:szCs w:val="19"/>
              </w:rPr>
              <w:lastRenderedPageBreak/>
              <w:t>Parts 4 and 5 of the Act are of limited relevance now that New South Wales has reached full scheme status with the NDIS.</w:t>
            </w:r>
          </w:p>
          <w:p w14:paraId="06041A2B" w14:textId="77777777" w:rsidR="00030303" w:rsidRPr="00834BF0" w:rsidRDefault="00030303" w:rsidP="00030303">
            <w:pPr>
              <w:rPr>
                <w:rFonts w:cs="Times New Roman"/>
                <w:sz w:val="19"/>
                <w:szCs w:val="19"/>
              </w:rPr>
            </w:pPr>
            <w:r w:rsidRPr="00834BF0">
              <w:rPr>
                <w:rFonts w:cs="Times New Roman"/>
                <w:sz w:val="19"/>
                <w:szCs w:val="19"/>
              </w:rPr>
              <w:t xml:space="preserve"> </w:t>
            </w:r>
          </w:p>
          <w:p w14:paraId="666C9DFD" w14:textId="77777777" w:rsidR="00030303" w:rsidRPr="00834BF0" w:rsidRDefault="00030303" w:rsidP="00030303">
            <w:pPr>
              <w:rPr>
                <w:rFonts w:cs="Times New Roman"/>
                <w:sz w:val="19"/>
                <w:szCs w:val="19"/>
              </w:rPr>
            </w:pPr>
          </w:p>
        </w:tc>
        <w:tc>
          <w:tcPr>
            <w:tcW w:w="0" w:type="auto"/>
          </w:tcPr>
          <w:p w14:paraId="6FF5DFDA" w14:textId="77777777" w:rsidR="00030303" w:rsidRPr="00834BF0" w:rsidRDefault="00030303" w:rsidP="00030303">
            <w:pPr>
              <w:rPr>
                <w:rFonts w:cs="Times New Roman"/>
                <w:sz w:val="19"/>
                <w:szCs w:val="19"/>
              </w:rPr>
            </w:pPr>
          </w:p>
        </w:tc>
        <w:tc>
          <w:tcPr>
            <w:tcW w:w="0" w:type="auto"/>
          </w:tcPr>
          <w:p w14:paraId="4699B272" w14:textId="77777777" w:rsidR="00030303" w:rsidRPr="00834BF0" w:rsidRDefault="00030303" w:rsidP="00030303">
            <w:pPr>
              <w:rPr>
                <w:rFonts w:cs="Times New Roman"/>
                <w:sz w:val="19"/>
                <w:szCs w:val="19"/>
              </w:rPr>
            </w:pPr>
          </w:p>
        </w:tc>
        <w:tc>
          <w:tcPr>
            <w:tcW w:w="0" w:type="auto"/>
          </w:tcPr>
          <w:p w14:paraId="115F89D2" w14:textId="77777777" w:rsidR="00030303" w:rsidRPr="00834BF0" w:rsidRDefault="00030303" w:rsidP="00030303">
            <w:pPr>
              <w:rPr>
                <w:rFonts w:cs="Times New Roman"/>
                <w:sz w:val="19"/>
                <w:szCs w:val="19"/>
              </w:rPr>
            </w:pPr>
          </w:p>
        </w:tc>
        <w:tc>
          <w:tcPr>
            <w:tcW w:w="0" w:type="auto"/>
          </w:tcPr>
          <w:p w14:paraId="1936FEEE" w14:textId="77777777" w:rsidR="00030303" w:rsidRPr="00834BF0" w:rsidRDefault="00030303" w:rsidP="00030303">
            <w:pPr>
              <w:rPr>
                <w:rFonts w:cs="Times New Roman"/>
                <w:sz w:val="19"/>
                <w:szCs w:val="19"/>
              </w:rPr>
            </w:pPr>
          </w:p>
        </w:tc>
        <w:tc>
          <w:tcPr>
            <w:tcW w:w="0" w:type="auto"/>
          </w:tcPr>
          <w:p w14:paraId="6DDEA86E" w14:textId="77777777" w:rsidR="00030303" w:rsidRPr="00834BF0" w:rsidRDefault="00030303" w:rsidP="00030303">
            <w:pPr>
              <w:rPr>
                <w:rFonts w:cs="Times New Roman"/>
                <w:i/>
                <w:sz w:val="19"/>
                <w:szCs w:val="19"/>
              </w:rPr>
            </w:pPr>
            <w:r w:rsidRPr="00834BF0">
              <w:rPr>
                <w:rFonts w:cs="Times New Roman"/>
                <w:sz w:val="19"/>
                <w:szCs w:val="19"/>
              </w:rPr>
              <w:t>All Victorian unregistered disability workers are required to comply with the National Disability Insurance Scheme Code of Conduct.</w:t>
            </w:r>
            <w:r w:rsidRPr="00834BF0">
              <w:rPr>
                <w:rFonts w:ascii="Arial" w:hAnsi="Arial" w:cs="Arial"/>
                <w:sz w:val="19"/>
                <w:szCs w:val="19"/>
                <w:vertAlign w:val="superscript"/>
              </w:rPr>
              <w:footnoteReference w:id="91"/>
            </w:r>
            <w:r w:rsidRPr="00834BF0">
              <w:rPr>
                <w:rFonts w:cs="Times New Roman"/>
                <w:sz w:val="19"/>
                <w:szCs w:val="19"/>
              </w:rPr>
              <w:t xml:space="preserve"> Registered disability service providers must comply with the </w:t>
            </w:r>
            <w:r w:rsidRPr="00834BF0">
              <w:rPr>
                <w:rFonts w:cs="Times New Roman"/>
                <w:i/>
                <w:sz w:val="19"/>
                <w:szCs w:val="19"/>
              </w:rPr>
              <w:t>Department of Human Services Standards (Disability)</w:t>
            </w:r>
          </w:p>
          <w:p w14:paraId="11F0781A" w14:textId="77777777" w:rsidR="00030303" w:rsidRPr="00834BF0" w:rsidRDefault="00030303" w:rsidP="00030303">
            <w:pPr>
              <w:rPr>
                <w:rFonts w:cs="Times New Roman"/>
                <w:sz w:val="19"/>
                <w:szCs w:val="19"/>
              </w:rPr>
            </w:pPr>
            <w:r w:rsidRPr="00834BF0">
              <w:rPr>
                <w:rFonts w:cs="Times New Roman"/>
                <w:i/>
                <w:sz w:val="19"/>
                <w:szCs w:val="19"/>
              </w:rPr>
              <w:t>Determination 2012</w:t>
            </w:r>
            <w:r w:rsidRPr="00834BF0">
              <w:rPr>
                <w:rFonts w:cs="Times New Roman"/>
                <w:sz w:val="19"/>
                <w:szCs w:val="19"/>
              </w:rPr>
              <w:t xml:space="preserve"> (Vic).</w:t>
            </w:r>
            <w:r w:rsidRPr="00834BF0">
              <w:rPr>
                <w:rFonts w:ascii="Arial" w:hAnsi="Arial" w:cs="Arial"/>
                <w:sz w:val="19"/>
                <w:szCs w:val="19"/>
                <w:vertAlign w:val="superscript"/>
              </w:rPr>
              <w:footnoteReference w:id="92"/>
            </w:r>
          </w:p>
        </w:tc>
        <w:tc>
          <w:tcPr>
            <w:tcW w:w="0" w:type="auto"/>
          </w:tcPr>
          <w:p w14:paraId="513C45E6" w14:textId="77777777" w:rsidR="00030303" w:rsidRPr="00834BF0" w:rsidRDefault="00030303" w:rsidP="00030303">
            <w:pPr>
              <w:rPr>
                <w:rFonts w:cs="Times New Roman"/>
                <w:sz w:val="19"/>
                <w:szCs w:val="19"/>
              </w:rPr>
            </w:pPr>
          </w:p>
        </w:tc>
      </w:tr>
      <w:tr w:rsidR="00030303" w:rsidRPr="00834BF0" w14:paraId="7785CCB8" w14:textId="77777777" w:rsidTr="00030303">
        <w:tc>
          <w:tcPr>
            <w:tcW w:w="0" w:type="auto"/>
          </w:tcPr>
          <w:p w14:paraId="474D038E" w14:textId="77777777" w:rsidR="00030303" w:rsidRPr="00834BF0" w:rsidRDefault="00030303" w:rsidP="00030303">
            <w:pPr>
              <w:rPr>
                <w:rFonts w:cs="Times New Roman"/>
                <w:b/>
                <w:sz w:val="19"/>
                <w:szCs w:val="19"/>
              </w:rPr>
            </w:pPr>
            <w:r w:rsidRPr="00834BF0">
              <w:rPr>
                <w:rFonts w:cs="Times New Roman"/>
                <w:b/>
                <w:sz w:val="19"/>
                <w:szCs w:val="19"/>
              </w:rPr>
              <w:lastRenderedPageBreak/>
              <w:t xml:space="preserve">Making of grants - disability services </w:t>
            </w:r>
            <w:r w:rsidRPr="00834BF0">
              <w:rPr>
                <w:rFonts w:cs="Times New Roman"/>
                <w:b/>
                <w:sz w:val="19"/>
                <w:szCs w:val="19"/>
              </w:rPr>
              <w:lastRenderedPageBreak/>
              <w:t>legislation</w:t>
            </w:r>
          </w:p>
        </w:tc>
        <w:tc>
          <w:tcPr>
            <w:tcW w:w="0" w:type="auto"/>
          </w:tcPr>
          <w:p w14:paraId="708E48FB" w14:textId="77777777" w:rsidR="00030303" w:rsidRPr="00834BF0" w:rsidRDefault="00030303" w:rsidP="00030303">
            <w:pPr>
              <w:rPr>
                <w:rFonts w:cs="Times New Roman"/>
                <w:sz w:val="19"/>
                <w:szCs w:val="19"/>
              </w:rPr>
            </w:pPr>
            <w:r w:rsidRPr="00834BF0">
              <w:rPr>
                <w:rFonts w:cs="Times New Roman"/>
                <w:sz w:val="19"/>
                <w:szCs w:val="19"/>
              </w:rPr>
              <w:lastRenderedPageBreak/>
              <w:t xml:space="preserve">Part 2 of the Act provides for the making of conditional </w:t>
            </w:r>
            <w:r w:rsidRPr="00834BF0">
              <w:rPr>
                <w:rFonts w:cs="Times New Roman"/>
                <w:sz w:val="19"/>
                <w:szCs w:val="19"/>
              </w:rPr>
              <w:lastRenderedPageBreak/>
              <w:t>grants of financial assistance to providers of services,</w:t>
            </w:r>
            <w:r w:rsidRPr="00834BF0">
              <w:rPr>
                <w:rFonts w:cs="Times New Roman"/>
                <w:sz w:val="19"/>
                <w:szCs w:val="19"/>
                <w:vertAlign w:val="superscript"/>
              </w:rPr>
              <w:footnoteReference w:id="93"/>
            </w:r>
            <w:r w:rsidRPr="00834BF0">
              <w:rPr>
                <w:rFonts w:cs="Times New Roman"/>
                <w:sz w:val="19"/>
                <w:szCs w:val="19"/>
              </w:rPr>
              <w:t xml:space="preserve"> people with disability and researchers.</w:t>
            </w:r>
            <w:r w:rsidRPr="00834BF0">
              <w:rPr>
                <w:rFonts w:cs="Times New Roman"/>
                <w:sz w:val="19"/>
                <w:szCs w:val="19"/>
                <w:vertAlign w:val="superscript"/>
              </w:rPr>
              <w:footnoteReference w:id="94"/>
            </w:r>
            <w:r w:rsidRPr="00834BF0">
              <w:rPr>
                <w:rFonts w:cs="Times New Roman"/>
                <w:sz w:val="19"/>
                <w:szCs w:val="19"/>
              </w:rPr>
              <w:t xml:space="preserve"> Grants must, </w:t>
            </w:r>
            <w:r w:rsidRPr="00834BF0">
              <w:rPr>
                <w:rFonts w:cs="Times New Roman"/>
                <w:i/>
                <w:sz w:val="19"/>
                <w:szCs w:val="19"/>
              </w:rPr>
              <w:t>inter alia</w:t>
            </w:r>
            <w:r w:rsidRPr="00834BF0">
              <w:rPr>
                <w:rFonts w:cs="Times New Roman"/>
                <w:sz w:val="19"/>
                <w:szCs w:val="19"/>
              </w:rPr>
              <w:t>, comply with any grant guidelines made by the Minister under s 10(1)(a).</w:t>
            </w:r>
            <w:r w:rsidRPr="00834BF0">
              <w:rPr>
                <w:rFonts w:cs="Times New Roman"/>
                <w:sz w:val="19"/>
                <w:szCs w:val="19"/>
                <w:vertAlign w:val="superscript"/>
              </w:rPr>
              <w:footnoteReference w:id="95"/>
            </w:r>
          </w:p>
          <w:p w14:paraId="1D92C2B1" w14:textId="77777777" w:rsidR="00030303" w:rsidRPr="00834BF0" w:rsidRDefault="00030303" w:rsidP="00030303">
            <w:pPr>
              <w:rPr>
                <w:rFonts w:cs="Times New Roman"/>
                <w:sz w:val="19"/>
                <w:szCs w:val="19"/>
              </w:rPr>
            </w:pPr>
            <w:r w:rsidRPr="00834BF0">
              <w:rPr>
                <w:rFonts w:cs="Times New Roman"/>
                <w:sz w:val="19"/>
                <w:szCs w:val="19"/>
              </w:rPr>
              <w:t xml:space="preserve">Further, any programs and </w:t>
            </w:r>
            <w:r w:rsidRPr="00834BF0">
              <w:rPr>
                <w:rFonts w:cs="Times New Roman"/>
                <w:sz w:val="19"/>
                <w:szCs w:val="19"/>
              </w:rPr>
              <w:lastRenderedPageBreak/>
              <w:t>services funded by the grant must comply with the requirements in Schedule 2 of the Act.</w:t>
            </w:r>
            <w:r w:rsidRPr="00834BF0">
              <w:rPr>
                <w:rFonts w:cs="Times New Roman"/>
                <w:sz w:val="19"/>
                <w:szCs w:val="19"/>
                <w:vertAlign w:val="superscript"/>
              </w:rPr>
              <w:footnoteReference w:id="96"/>
            </w:r>
            <w:r w:rsidRPr="00834BF0">
              <w:rPr>
                <w:rFonts w:cs="Times New Roman"/>
                <w:sz w:val="19"/>
                <w:szCs w:val="19"/>
              </w:rPr>
              <w:t xml:space="preserve"> That Schedule sets out a range of general obligations relevant to the design and implementation of programs and services relating to people with disability – </w:t>
            </w:r>
            <w:proofErr w:type="spellStart"/>
            <w:r w:rsidRPr="00834BF0">
              <w:rPr>
                <w:rFonts w:cs="Times New Roman"/>
                <w:sz w:val="19"/>
                <w:szCs w:val="19"/>
              </w:rPr>
              <w:t>eg</w:t>
            </w:r>
            <w:proofErr w:type="spellEnd"/>
            <w:r w:rsidRPr="00834BF0">
              <w:rPr>
                <w:rFonts w:cs="Times New Roman"/>
                <w:sz w:val="19"/>
                <w:szCs w:val="19"/>
              </w:rPr>
              <w:t xml:space="preserve">, that services should focus on improving quality of life, be integrated with mainstream services where possible, and be </w:t>
            </w:r>
            <w:r w:rsidRPr="00834BF0">
              <w:rPr>
                <w:rFonts w:cs="Times New Roman"/>
                <w:sz w:val="19"/>
                <w:szCs w:val="19"/>
              </w:rPr>
              <w:lastRenderedPageBreak/>
              <w:t xml:space="preserve">tailored to meet the individual needs and goals of people with disability. </w:t>
            </w:r>
          </w:p>
        </w:tc>
        <w:tc>
          <w:tcPr>
            <w:tcW w:w="0" w:type="auto"/>
          </w:tcPr>
          <w:p w14:paraId="2243BD5F" w14:textId="77777777" w:rsidR="00030303" w:rsidRPr="00834BF0" w:rsidRDefault="00030303" w:rsidP="00030303">
            <w:pPr>
              <w:rPr>
                <w:rFonts w:cs="Times New Roman"/>
                <w:sz w:val="19"/>
                <w:szCs w:val="19"/>
              </w:rPr>
            </w:pPr>
            <w:r w:rsidRPr="00834BF0">
              <w:rPr>
                <w:rFonts w:cs="Times New Roman"/>
                <w:sz w:val="19"/>
                <w:szCs w:val="19"/>
              </w:rPr>
              <w:lastRenderedPageBreak/>
              <w:t xml:space="preserve">Part 5 is no longer relevant as it deals with the provision of </w:t>
            </w:r>
            <w:r w:rsidRPr="00834BF0">
              <w:rPr>
                <w:rFonts w:cs="Times New Roman"/>
                <w:sz w:val="19"/>
                <w:szCs w:val="19"/>
              </w:rPr>
              <w:lastRenderedPageBreak/>
              <w:t>supports and services to people with disability during the transition to the NDIS (which has now ended).</w:t>
            </w:r>
            <w:r w:rsidRPr="00834BF0">
              <w:rPr>
                <w:rFonts w:cs="Times New Roman"/>
                <w:sz w:val="19"/>
                <w:szCs w:val="19"/>
                <w:vertAlign w:val="superscript"/>
              </w:rPr>
              <w:footnoteReference w:id="97"/>
            </w:r>
            <w:r w:rsidRPr="00834BF0">
              <w:rPr>
                <w:rFonts w:cs="Times New Roman"/>
                <w:sz w:val="19"/>
                <w:szCs w:val="19"/>
              </w:rPr>
              <w:t xml:space="preserve"> Grants can now only be made under s 37, which empowers the Secretary to provide financial assistance to various entities to promote the </w:t>
            </w:r>
            <w:r w:rsidRPr="00834BF0">
              <w:rPr>
                <w:rFonts w:cs="Times New Roman"/>
                <w:sz w:val="19"/>
                <w:szCs w:val="19"/>
              </w:rPr>
              <w:lastRenderedPageBreak/>
              <w:t>objects of the Act.</w:t>
            </w:r>
            <w:r w:rsidRPr="00834BF0">
              <w:rPr>
                <w:rFonts w:cs="Times New Roman"/>
                <w:sz w:val="19"/>
                <w:szCs w:val="19"/>
                <w:vertAlign w:val="superscript"/>
              </w:rPr>
              <w:footnoteReference w:id="98"/>
            </w:r>
          </w:p>
        </w:tc>
        <w:tc>
          <w:tcPr>
            <w:tcW w:w="0" w:type="auto"/>
          </w:tcPr>
          <w:p w14:paraId="1BC49A6A" w14:textId="77777777" w:rsidR="00030303" w:rsidRPr="00834BF0" w:rsidRDefault="00030303" w:rsidP="00030303">
            <w:pPr>
              <w:rPr>
                <w:rFonts w:cs="Times New Roman"/>
                <w:sz w:val="19"/>
                <w:szCs w:val="19"/>
              </w:rPr>
            </w:pPr>
            <w:r w:rsidRPr="00834BF0">
              <w:rPr>
                <w:rFonts w:cs="Times New Roman"/>
                <w:sz w:val="19"/>
                <w:szCs w:val="19"/>
              </w:rPr>
              <w:lastRenderedPageBreak/>
              <w:t xml:space="preserve">Part 2 of the Act empowers the Minister to approve funding </w:t>
            </w:r>
            <w:r w:rsidRPr="00834BF0">
              <w:rPr>
                <w:rFonts w:cs="Times New Roman"/>
                <w:sz w:val="19"/>
                <w:szCs w:val="19"/>
              </w:rPr>
              <w:lastRenderedPageBreak/>
              <w:t>to service providers, researchers and people with disability, subject to terms and conditions imposed under funding agreements.</w:t>
            </w:r>
            <w:r w:rsidRPr="00834BF0">
              <w:rPr>
                <w:sz w:val="19"/>
                <w:szCs w:val="19"/>
                <w:vertAlign w:val="superscript"/>
              </w:rPr>
              <w:footnoteReference w:id="99"/>
            </w:r>
            <w:r w:rsidRPr="00834BF0">
              <w:rPr>
                <w:rFonts w:cs="Times New Roman"/>
                <w:sz w:val="19"/>
                <w:szCs w:val="19"/>
              </w:rPr>
              <w:t xml:space="preserve"> These provisions have been substantially superseded by the NDIS</w:t>
            </w:r>
          </w:p>
        </w:tc>
        <w:tc>
          <w:tcPr>
            <w:tcW w:w="0" w:type="auto"/>
          </w:tcPr>
          <w:p w14:paraId="60649120" w14:textId="77777777" w:rsidR="00030303" w:rsidRPr="00834BF0" w:rsidRDefault="00030303" w:rsidP="00030303">
            <w:pPr>
              <w:numPr>
                <w:ilvl w:val="0"/>
                <w:numId w:val="14"/>
              </w:numPr>
              <w:spacing w:after="0" w:line="240" w:lineRule="auto"/>
              <w:rPr>
                <w:rFonts w:cs="Times New Roman"/>
                <w:sz w:val="19"/>
                <w:szCs w:val="19"/>
              </w:rPr>
            </w:pPr>
            <w:r w:rsidRPr="00834BF0">
              <w:rPr>
                <w:rFonts w:cs="Times New Roman"/>
                <w:sz w:val="19"/>
                <w:szCs w:val="19"/>
              </w:rPr>
              <w:lastRenderedPageBreak/>
              <w:t xml:space="preserve">Part 4 provides for the Minister to approve the provision of funding for </w:t>
            </w:r>
            <w:r w:rsidRPr="00834BF0">
              <w:rPr>
                <w:rFonts w:cs="Times New Roman"/>
                <w:sz w:val="19"/>
                <w:szCs w:val="19"/>
              </w:rPr>
              <w:lastRenderedPageBreak/>
              <w:t xml:space="preserve">people with disability to obtain ‘relevant disability </w:t>
            </w:r>
            <w:proofErr w:type="gramStart"/>
            <w:r w:rsidRPr="00834BF0">
              <w:rPr>
                <w:rFonts w:cs="Times New Roman"/>
                <w:sz w:val="19"/>
                <w:szCs w:val="19"/>
              </w:rPr>
              <w:t>services’</w:t>
            </w:r>
            <w:proofErr w:type="gramEnd"/>
            <w:r w:rsidRPr="00834BF0">
              <w:rPr>
                <w:rFonts w:cs="Times New Roman"/>
                <w:sz w:val="19"/>
                <w:szCs w:val="19"/>
              </w:rPr>
              <w:t>.</w:t>
            </w:r>
            <w:r w:rsidRPr="00834BF0">
              <w:rPr>
                <w:rFonts w:cs="Times New Roman"/>
                <w:sz w:val="19"/>
                <w:szCs w:val="19"/>
                <w:vertAlign w:val="superscript"/>
              </w:rPr>
              <w:footnoteReference w:id="100"/>
            </w:r>
            <w:r w:rsidRPr="00834BF0">
              <w:rPr>
                <w:rFonts w:cs="Times New Roman"/>
                <w:sz w:val="19"/>
                <w:szCs w:val="19"/>
              </w:rPr>
              <w:t xml:space="preserve"> However, as the </w:t>
            </w:r>
            <w:r w:rsidRPr="00834BF0">
              <w:rPr>
                <w:rFonts w:cs="Times New Roman"/>
                <w:i/>
                <w:sz w:val="19"/>
                <w:szCs w:val="19"/>
              </w:rPr>
              <w:t>Disability Services Regulation 2017</w:t>
            </w:r>
            <w:r w:rsidRPr="00834BF0">
              <w:rPr>
                <w:rFonts w:cs="Times New Roman"/>
                <w:sz w:val="19"/>
                <w:szCs w:val="19"/>
              </w:rPr>
              <w:t xml:space="preserve"> (Qld) does not prescribe any services, these provisions have no practical application. </w:t>
            </w:r>
          </w:p>
          <w:p w14:paraId="0D205072" w14:textId="77777777" w:rsidR="00030303" w:rsidRPr="00834BF0" w:rsidRDefault="00030303" w:rsidP="00030303">
            <w:pPr>
              <w:rPr>
                <w:rFonts w:cs="Times New Roman"/>
                <w:sz w:val="19"/>
                <w:szCs w:val="19"/>
              </w:rPr>
            </w:pPr>
          </w:p>
        </w:tc>
        <w:tc>
          <w:tcPr>
            <w:tcW w:w="0" w:type="auto"/>
          </w:tcPr>
          <w:p w14:paraId="2BBAD465" w14:textId="77777777" w:rsidR="00030303" w:rsidRPr="00834BF0" w:rsidRDefault="00030303" w:rsidP="00030303">
            <w:pPr>
              <w:rPr>
                <w:rFonts w:cs="Times New Roman"/>
                <w:sz w:val="19"/>
                <w:szCs w:val="19"/>
              </w:rPr>
            </w:pPr>
            <w:r w:rsidRPr="00834BF0">
              <w:rPr>
                <w:rFonts w:cs="Times New Roman"/>
                <w:sz w:val="19"/>
                <w:szCs w:val="19"/>
              </w:rPr>
              <w:lastRenderedPageBreak/>
              <w:t xml:space="preserve">The 1993 Act provides for the making of grants to fund </w:t>
            </w:r>
            <w:r w:rsidRPr="00834BF0">
              <w:rPr>
                <w:rFonts w:cs="Times New Roman"/>
                <w:sz w:val="19"/>
                <w:szCs w:val="19"/>
              </w:rPr>
              <w:lastRenderedPageBreak/>
              <w:t>disability services and research or development activities.</w:t>
            </w:r>
            <w:r w:rsidRPr="00834BF0">
              <w:rPr>
                <w:rFonts w:cs="Times New Roman"/>
                <w:sz w:val="19"/>
                <w:szCs w:val="19"/>
                <w:vertAlign w:val="superscript"/>
              </w:rPr>
              <w:footnoteReference w:id="101"/>
            </w:r>
            <w:r w:rsidRPr="00834BF0">
              <w:rPr>
                <w:rFonts w:cs="Times New Roman"/>
                <w:sz w:val="19"/>
                <w:szCs w:val="19"/>
              </w:rPr>
              <w:t xml:space="preserve"> However, this has been largely superseded by the NDIS.</w:t>
            </w:r>
          </w:p>
        </w:tc>
        <w:tc>
          <w:tcPr>
            <w:tcW w:w="0" w:type="auto"/>
          </w:tcPr>
          <w:p w14:paraId="3972FC43" w14:textId="77777777" w:rsidR="00030303" w:rsidRPr="00834BF0" w:rsidRDefault="00030303" w:rsidP="00030303">
            <w:pPr>
              <w:rPr>
                <w:rFonts w:cs="Times New Roman"/>
                <w:sz w:val="19"/>
                <w:szCs w:val="19"/>
              </w:rPr>
            </w:pPr>
            <w:r w:rsidRPr="00834BF0">
              <w:rPr>
                <w:rFonts w:cs="Times New Roman"/>
                <w:sz w:val="19"/>
                <w:szCs w:val="19"/>
              </w:rPr>
              <w:lastRenderedPageBreak/>
              <w:t xml:space="preserve">Although largely superseded by the transition to the NDIS, Part 3 </w:t>
            </w:r>
            <w:r w:rsidRPr="00834BF0">
              <w:rPr>
                <w:rFonts w:cs="Times New Roman"/>
                <w:sz w:val="19"/>
                <w:szCs w:val="19"/>
              </w:rPr>
              <w:lastRenderedPageBreak/>
              <w:t xml:space="preserve">of the Act still empowers the Secretary to provide services, or </w:t>
            </w:r>
            <w:proofErr w:type="gramStart"/>
            <w:r w:rsidRPr="00834BF0">
              <w:rPr>
                <w:rFonts w:cs="Times New Roman"/>
                <w:sz w:val="19"/>
                <w:szCs w:val="19"/>
              </w:rPr>
              <w:t>provide assistance</w:t>
            </w:r>
            <w:proofErr w:type="gramEnd"/>
            <w:r w:rsidRPr="00834BF0">
              <w:rPr>
                <w:rFonts w:cs="Times New Roman"/>
                <w:sz w:val="19"/>
                <w:szCs w:val="19"/>
              </w:rPr>
              <w:t xml:space="preserve"> in relation to the provision of services, to people with disability.</w:t>
            </w:r>
            <w:r w:rsidRPr="00834BF0">
              <w:rPr>
                <w:rFonts w:cs="Times New Roman"/>
                <w:sz w:val="19"/>
                <w:szCs w:val="19"/>
                <w:vertAlign w:val="superscript"/>
              </w:rPr>
              <w:footnoteReference w:id="102"/>
            </w:r>
            <w:r w:rsidRPr="00834BF0">
              <w:rPr>
                <w:rFonts w:cs="Times New Roman"/>
                <w:sz w:val="19"/>
                <w:szCs w:val="19"/>
              </w:rPr>
              <w:t xml:space="preserve"> It also empowers the Secretary to make grants to:</w:t>
            </w:r>
          </w:p>
          <w:p w14:paraId="0B445A74" w14:textId="77777777" w:rsidR="00030303" w:rsidRPr="00834BF0" w:rsidRDefault="00030303" w:rsidP="00030303">
            <w:pPr>
              <w:rPr>
                <w:rFonts w:cs="Times New Roman"/>
                <w:sz w:val="19"/>
                <w:szCs w:val="19"/>
              </w:rPr>
            </w:pPr>
            <w:r w:rsidRPr="00834BF0">
              <w:rPr>
                <w:rFonts w:cs="Times New Roman"/>
                <w:sz w:val="19"/>
                <w:szCs w:val="19"/>
              </w:rPr>
              <w:t xml:space="preserve">enable a person or organisation to provide </w:t>
            </w:r>
            <w:r w:rsidRPr="00834BF0">
              <w:rPr>
                <w:rFonts w:cs="Times New Roman"/>
                <w:sz w:val="19"/>
                <w:szCs w:val="19"/>
              </w:rPr>
              <w:lastRenderedPageBreak/>
              <w:t>specialist disability services or carry out a research or development activity; or</w:t>
            </w:r>
          </w:p>
          <w:p w14:paraId="584ECBE3" w14:textId="77777777" w:rsidR="00030303" w:rsidRPr="00834BF0" w:rsidRDefault="00030303" w:rsidP="00030303">
            <w:pPr>
              <w:rPr>
                <w:rFonts w:cs="Times New Roman"/>
                <w:sz w:val="19"/>
                <w:szCs w:val="19"/>
              </w:rPr>
            </w:pPr>
            <w:r w:rsidRPr="00834BF0">
              <w:rPr>
                <w:rFonts w:cs="Times New Roman"/>
                <w:sz w:val="19"/>
                <w:szCs w:val="19"/>
              </w:rPr>
              <w:t>enable a person with disability (or their nominee) to acquire specialist disability services, or other goods or services relevant to their disability.</w:t>
            </w:r>
            <w:r w:rsidRPr="00834BF0">
              <w:rPr>
                <w:rFonts w:cs="Times New Roman"/>
                <w:sz w:val="19"/>
                <w:szCs w:val="19"/>
                <w:vertAlign w:val="superscript"/>
              </w:rPr>
              <w:footnoteReference w:id="103"/>
            </w:r>
            <w:r w:rsidRPr="00834BF0">
              <w:rPr>
                <w:rFonts w:cs="Times New Roman"/>
                <w:sz w:val="19"/>
                <w:szCs w:val="19"/>
              </w:rPr>
              <w:t xml:space="preserve">  </w:t>
            </w:r>
          </w:p>
          <w:p w14:paraId="61F0A2B2" w14:textId="77777777" w:rsidR="00030303" w:rsidRPr="00834BF0" w:rsidRDefault="00030303" w:rsidP="00030303">
            <w:pPr>
              <w:rPr>
                <w:rFonts w:cs="Times New Roman"/>
                <w:sz w:val="19"/>
                <w:szCs w:val="19"/>
              </w:rPr>
            </w:pPr>
            <w:r w:rsidRPr="00834BF0">
              <w:rPr>
                <w:rFonts w:cs="Times New Roman"/>
                <w:sz w:val="19"/>
                <w:szCs w:val="19"/>
              </w:rPr>
              <w:t xml:space="preserve">Grants may only be made where the recipient has entered into a funding agreement, and the Secretary is satisfied that </w:t>
            </w:r>
            <w:r w:rsidRPr="00834BF0">
              <w:rPr>
                <w:rFonts w:cs="Times New Roman"/>
                <w:sz w:val="19"/>
                <w:szCs w:val="19"/>
              </w:rPr>
              <w:lastRenderedPageBreak/>
              <w:t>they will comply with certain requirements.</w:t>
            </w:r>
            <w:r w:rsidRPr="00834BF0">
              <w:rPr>
                <w:rFonts w:cs="Times New Roman"/>
                <w:sz w:val="19"/>
                <w:szCs w:val="19"/>
                <w:vertAlign w:val="superscript"/>
              </w:rPr>
              <w:footnoteReference w:id="104"/>
            </w:r>
            <w:r w:rsidRPr="00834BF0">
              <w:rPr>
                <w:rFonts w:cs="Times New Roman"/>
                <w:sz w:val="19"/>
                <w:szCs w:val="19"/>
              </w:rPr>
              <w:t xml:space="preserve"> </w:t>
            </w:r>
          </w:p>
        </w:tc>
        <w:tc>
          <w:tcPr>
            <w:tcW w:w="0" w:type="auto"/>
          </w:tcPr>
          <w:p w14:paraId="679E81B2" w14:textId="77777777" w:rsidR="00030303" w:rsidRPr="00834BF0" w:rsidRDefault="00030303" w:rsidP="00030303">
            <w:pPr>
              <w:rPr>
                <w:rFonts w:cs="Times New Roman"/>
                <w:sz w:val="19"/>
                <w:szCs w:val="19"/>
              </w:rPr>
            </w:pPr>
            <w:r w:rsidRPr="00834BF0">
              <w:rPr>
                <w:rFonts w:cs="Times New Roman"/>
                <w:sz w:val="19"/>
                <w:szCs w:val="19"/>
              </w:rPr>
              <w:lastRenderedPageBreak/>
              <w:t xml:space="preserve">Part 4 also deals with the State-based registration of disability </w:t>
            </w:r>
            <w:r w:rsidRPr="00834BF0">
              <w:rPr>
                <w:rFonts w:cs="Times New Roman"/>
                <w:sz w:val="19"/>
                <w:szCs w:val="19"/>
              </w:rPr>
              <w:lastRenderedPageBreak/>
              <w:t>service providers.</w:t>
            </w:r>
            <w:r w:rsidRPr="00834BF0">
              <w:rPr>
                <w:sz w:val="19"/>
                <w:szCs w:val="19"/>
                <w:vertAlign w:val="superscript"/>
              </w:rPr>
              <w:footnoteReference w:id="105"/>
            </w:r>
            <w:r w:rsidRPr="00834BF0">
              <w:rPr>
                <w:rFonts w:cs="Times New Roman"/>
                <w:sz w:val="19"/>
                <w:szCs w:val="19"/>
              </w:rPr>
              <w:t xml:space="preserve"> These provisions are of limited relevance following the rollout of the NDIS in Victoria.  </w:t>
            </w:r>
          </w:p>
        </w:tc>
        <w:tc>
          <w:tcPr>
            <w:tcW w:w="0" w:type="auto"/>
          </w:tcPr>
          <w:p w14:paraId="46E26D3E" w14:textId="77777777" w:rsidR="00030303" w:rsidRPr="00834BF0" w:rsidRDefault="00030303" w:rsidP="00030303">
            <w:pPr>
              <w:rPr>
                <w:rFonts w:cs="Times New Roman"/>
                <w:sz w:val="19"/>
                <w:szCs w:val="19"/>
              </w:rPr>
            </w:pPr>
            <w:r w:rsidRPr="00834BF0">
              <w:rPr>
                <w:rFonts w:cs="Times New Roman"/>
                <w:sz w:val="19"/>
                <w:szCs w:val="19"/>
              </w:rPr>
              <w:lastRenderedPageBreak/>
              <w:t xml:space="preserve">Part 4 empowers the Commission to approve grants </w:t>
            </w:r>
            <w:r w:rsidRPr="00834BF0">
              <w:rPr>
                <w:rFonts w:cs="Times New Roman"/>
                <w:sz w:val="19"/>
                <w:szCs w:val="19"/>
              </w:rPr>
              <w:lastRenderedPageBreak/>
              <w:t>of financial assistance to people with disability, carers, service providers and service developers.</w:t>
            </w:r>
            <w:r w:rsidRPr="00834BF0">
              <w:rPr>
                <w:rFonts w:cs="Times New Roman"/>
                <w:sz w:val="19"/>
                <w:szCs w:val="19"/>
                <w:vertAlign w:val="superscript"/>
              </w:rPr>
              <w:footnoteReference w:id="106"/>
            </w:r>
            <w:r w:rsidRPr="00834BF0">
              <w:rPr>
                <w:rFonts w:cs="Times New Roman"/>
                <w:sz w:val="19"/>
                <w:szCs w:val="19"/>
              </w:rPr>
              <w:t xml:space="preserve"> ‘Service provider’ refers to an individual, group or body that renders or provides disability services (other than carers).</w:t>
            </w:r>
            <w:r w:rsidRPr="00834BF0">
              <w:rPr>
                <w:rFonts w:cs="Times New Roman"/>
                <w:sz w:val="19"/>
                <w:szCs w:val="19"/>
                <w:vertAlign w:val="superscript"/>
              </w:rPr>
              <w:footnoteReference w:id="107"/>
            </w:r>
            <w:r w:rsidRPr="00834BF0">
              <w:rPr>
                <w:rFonts w:cs="Times New Roman"/>
                <w:sz w:val="19"/>
                <w:szCs w:val="19"/>
              </w:rPr>
              <w:t xml:space="preserve"> </w:t>
            </w:r>
            <w:r w:rsidRPr="00834BF0">
              <w:rPr>
                <w:rFonts w:cs="Times New Roman"/>
                <w:sz w:val="19"/>
                <w:szCs w:val="19"/>
              </w:rPr>
              <w:lastRenderedPageBreak/>
              <w:t>A ‘service developer’ may engage in a range of activities, such as investigating the need for disability services, researching service provision, developing proposals for or planning the provision of disability services, or developing or implementing training programs for service providers.</w:t>
            </w:r>
            <w:r w:rsidRPr="00834BF0">
              <w:rPr>
                <w:rFonts w:cs="Times New Roman"/>
                <w:sz w:val="19"/>
                <w:szCs w:val="19"/>
                <w:vertAlign w:val="superscript"/>
              </w:rPr>
              <w:footnoteReference w:id="108"/>
            </w:r>
          </w:p>
        </w:tc>
      </w:tr>
      <w:tr w:rsidR="00030303" w:rsidRPr="00834BF0" w14:paraId="0E364390" w14:textId="77777777" w:rsidTr="00030303">
        <w:tc>
          <w:tcPr>
            <w:tcW w:w="0" w:type="auto"/>
          </w:tcPr>
          <w:p w14:paraId="630BAFF2" w14:textId="77777777" w:rsidR="00030303" w:rsidRPr="00834BF0" w:rsidRDefault="00030303" w:rsidP="00030303">
            <w:pPr>
              <w:rPr>
                <w:rFonts w:cs="Times New Roman"/>
                <w:b/>
                <w:sz w:val="19"/>
                <w:szCs w:val="19"/>
              </w:rPr>
            </w:pPr>
            <w:r w:rsidRPr="00834BF0">
              <w:rPr>
                <w:rFonts w:cs="Times New Roman"/>
                <w:b/>
                <w:sz w:val="19"/>
                <w:szCs w:val="19"/>
              </w:rPr>
              <w:lastRenderedPageBreak/>
              <w:t>Complaints - disability services legislation</w:t>
            </w:r>
          </w:p>
        </w:tc>
        <w:tc>
          <w:tcPr>
            <w:tcW w:w="0" w:type="auto"/>
          </w:tcPr>
          <w:p w14:paraId="5269AF8E" w14:textId="77777777" w:rsidR="00030303" w:rsidRPr="00834BF0" w:rsidRDefault="00030303" w:rsidP="00030303">
            <w:pPr>
              <w:rPr>
                <w:rFonts w:cs="Times New Roman"/>
                <w:sz w:val="19"/>
                <w:szCs w:val="19"/>
              </w:rPr>
            </w:pPr>
            <w:r w:rsidRPr="00834BF0">
              <w:rPr>
                <w:rFonts w:cs="Times New Roman"/>
                <w:sz w:val="19"/>
                <w:szCs w:val="19"/>
              </w:rPr>
              <w:t xml:space="preserve">Under the </w:t>
            </w:r>
            <w:r w:rsidRPr="00834BF0">
              <w:rPr>
                <w:rFonts w:cs="Times New Roman"/>
                <w:i/>
                <w:sz w:val="19"/>
                <w:szCs w:val="19"/>
              </w:rPr>
              <w:t xml:space="preserve">Human Rights Commission Act 2005 </w:t>
            </w:r>
            <w:r w:rsidRPr="00834BF0">
              <w:rPr>
                <w:rFonts w:cs="Times New Roman"/>
                <w:sz w:val="19"/>
                <w:szCs w:val="19"/>
              </w:rPr>
              <w:t>(ACT), a person can make a complaint about a disability service on various grounds, including that the service is not being provided appropriately (or at all), or the service provider has acted inconsistently with certain standards.</w:t>
            </w:r>
            <w:r w:rsidRPr="00834BF0">
              <w:rPr>
                <w:rFonts w:cs="Times New Roman"/>
                <w:sz w:val="19"/>
                <w:szCs w:val="19"/>
                <w:vertAlign w:val="superscript"/>
              </w:rPr>
              <w:footnoteReference w:id="109"/>
            </w:r>
            <w:r w:rsidRPr="00834BF0">
              <w:rPr>
                <w:rFonts w:cs="Times New Roman"/>
                <w:sz w:val="19"/>
                <w:szCs w:val="19"/>
              </w:rPr>
              <w:t xml:space="preserve"> </w:t>
            </w:r>
            <w:r w:rsidRPr="00834BF0">
              <w:rPr>
                <w:rFonts w:cs="Times New Roman"/>
                <w:sz w:val="19"/>
                <w:szCs w:val="19"/>
              </w:rPr>
              <w:lastRenderedPageBreak/>
              <w:t xml:space="preserve">Further, during the COVID-19 period, a person may complain to the commission about the treatment of a ‘vulnerable person’ if they believe, on reasonable grounds, that the person is subject to or at risk of abuse, neglect or exploitation. ‘Vulnerable person’ includes a person with disability within the meaning of the </w:t>
            </w:r>
            <w:r w:rsidRPr="00834BF0">
              <w:rPr>
                <w:rFonts w:cs="Times New Roman"/>
                <w:i/>
                <w:sz w:val="19"/>
                <w:szCs w:val="19"/>
              </w:rPr>
              <w:t xml:space="preserve">Disability </w:t>
            </w:r>
            <w:r w:rsidRPr="00834BF0">
              <w:rPr>
                <w:rFonts w:cs="Times New Roman"/>
                <w:i/>
                <w:sz w:val="19"/>
                <w:szCs w:val="19"/>
              </w:rPr>
              <w:lastRenderedPageBreak/>
              <w:t xml:space="preserve">Services Act 1991 </w:t>
            </w:r>
            <w:r w:rsidRPr="00834BF0">
              <w:rPr>
                <w:rFonts w:cs="Times New Roman"/>
                <w:sz w:val="19"/>
                <w:szCs w:val="19"/>
              </w:rPr>
              <w:t>(ACT).</w:t>
            </w:r>
            <w:r w:rsidRPr="00834BF0">
              <w:rPr>
                <w:rFonts w:cs="Times New Roman"/>
                <w:sz w:val="19"/>
                <w:szCs w:val="19"/>
                <w:vertAlign w:val="superscript"/>
              </w:rPr>
              <w:footnoteReference w:id="110"/>
            </w:r>
            <w:r w:rsidRPr="00834BF0">
              <w:rPr>
                <w:rFonts w:cs="Times New Roman"/>
                <w:sz w:val="19"/>
                <w:szCs w:val="19"/>
              </w:rPr>
              <w:t xml:space="preserve"> </w:t>
            </w:r>
          </w:p>
          <w:p w14:paraId="3B80AFDB" w14:textId="77777777" w:rsidR="00030303" w:rsidRPr="00834BF0" w:rsidRDefault="00030303" w:rsidP="00030303">
            <w:pPr>
              <w:rPr>
                <w:rFonts w:cs="Times New Roman"/>
                <w:sz w:val="19"/>
                <w:szCs w:val="19"/>
              </w:rPr>
            </w:pPr>
            <w:r w:rsidRPr="00834BF0">
              <w:rPr>
                <w:rFonts w:cs="Times New Roman"/>
                <w:sz w:val="19"/>
                <w:szCs w:val="19"/>
              </w:rPr>
              <w:t>The commission must deal with complaints promptly and efficiently.</w:t>
            </w:r>
            <w:r w:rsidRPr="00834BF0">
              <w:rPr>
                <w:rFonts w:cs="Times New Roman"/>
                <w:sz w:val="19"/>
                <w:szCs w:val="19"/>
                <w:vertAlign w:val="superscript"/>
              </w:rPr>
              <w:footnoteReference w:id="111"/>
            </w:r>
            <w:r w:rsidRPr="00834BF0">
              <w:rPr>
                <w:rFonts w:cs="Times New Roman"/>
                <w:sz w:val="19"/>
                <w:szCs w:val="19"/>
              </w:rPr>
              <w:t xml:space="preserve"> It has various powers in relation to complaints, including to refer them for conciliation, refer them to an appropriate statutory office-holder, or consider them itself.</w:t>
            </w:r>
            <w:r w:rsidRPr="00834BF0">
              <w:rPr>
                <w:rFonts w:cs="Times New Roman"/>
                <w:sz w:val="19"/>
                <w:szCs w:val="19"/>
                <w:vertAlign w:val="superscript"/>
              </w:rPr>
              <w:footnoteReference w:id="112"/>
            </w:r>
          </w:p>
          <w:p w14:paraId="52E73328" w14:textId="77777777" w:rsidR="00030303" w:rsidRPr="00834BF0" w:rsidRDefault="00030303" w:rsidP="00030303">
            <w:pPr>
              <w:rPr>
                <w:rFonts w:cs="Times New Roman"/>
                <w:sz w:val="19"/>
                <w:szCs w:val="19"/>
              </w:rPr>
            </w:pPr>
            <w:r w:rsidRPr="00834BF0">
              <w:rPr>
                <w:rFonts w:cs="Times New Roman"/>
                <w:sz w:val="19"/>
                <w:szCs w:val="19"/>
              </w:rPr>
              <w:lastRenderedPageBreak/>
              <w:t>In order to close a complaint, the commission must compete a report on it.</w:t>
            </w:r>
            <w:r w:rsidRPr="00834BF0">
              <w:rPr>
                <w:rFonts w:cs="Times New Roman"/>
                <w:sz w:val="19"/>
                <w:szCs w:val="19"/>
                <w:vertAlign w:val="superscript"/>
              </w:rPr>
              <w:footnoteReference w:id="113"/>
            </w:r>
            <w:r w:rsidRPr="00834BF0">
              <w:rPr>
                <w:rFonts w:cs="Times New Roman"/>
                <w:sz w:val="19"/>
                <w:szCs w:val="19"/>
              </w:rPr>
              <w:t xml:space="preserve"> Where the commission finds that the subject of the complaint has acted inconsistently with certain standards, the report may recommend that they </w:t>
            </w:r>
            <w:proofErr w:type="gramStart"/>
            <w:r w:rsidRPr="00834BF0">
              <w:rPr>
                <w:rFonts w:cs="Times New Roman"/>
                <w:sz w:val="19"/>
                <w:szCs w:val="19"/>
              </w:rPr>
              <w:t>take action</w:t>
            </w:r>
            <w:proofErr w:type="gramEnd"/>
            <w:r w:rsidRPr="00834BF0">
              <w:rPr>
                <w:rFonts w:cs="Times New Roman"/>
                <w:sz w:val="19"/>
                <w:szCs w:val="19"/>
              </w:rPr>
              <w:t xml:space="preserve"> to address the identified issues within a specified timeframe.</w:t>
            </w:r>
            <w:r w:rsidRPr="00834BF0">
              <w:rPr>
                <w:rFonts w:cs="Times New Roman"/>
                <w:sz w:val="19"/>
                <w:szCs w:val="19"/>
                <w:vertAlign w:val="superscript"/>
              </w:rPr>
              <w:footnoteReference w:id="114"/>
            </w:r>
          </w:p>
        </w:tc>
        <w:tc>
          <w:tcPr>
            <w:tcW w:w="0" w:type="auto"/>
          </w:tcPr>
          <w:p w14:paraId="0AA27421" w14:textId="77777777" w:rsidR="00030303" w:rsidRPr="00834BF0" w:rsidRDefault="00030303" w:rsidP="00030303">
            <w:pPr>
              <w:rPr>
                <w:rFonts w:cs="Times New Roman"/>
                <w:sz w:val="19"/>
                <w:szCs w:val="19"/>
              </w:rPr>
            </w:pPr>
            <w:r w:rsidRPr="00834BF0">
              <w:rPr>
                <w:rFonts w:cs="Times New Roman"/>
                <w:sz w:val="19"/>
                <w:szCs w:val="19"/>
              </w:rPr>
              <w:lastRenderedPageBreak/>
              <w:t xml:space="preserve">Dealt with under the </w:t>
            </w:r>
            <w:r w:rsidRPr="00834BF0">
              <w:rPr>
                <w:rFonts w:cs="Times New Roman"/>
                <w:i/>
                <w:sz w:val="19"/>
                <w:szCs w:val="19"/>
              </w:rPr>
              <w:t>Ageing and Disability Commissioner Act 2019</w:t>
            </w:r>
            <w:r w:rsidRPr="00834BF0">
              <w:rPr>
                <w:rFonts w:cs="Times New Roman"/>
                <w:sz w:val="19"/>
                <w:szCs w:val="19"/>
              </w:rPr>
              <w:t xml:space="preserve"> (NSW) below.</w:t>
            </w:r>
          </w:p>
        </w:tc>
        <w:tc>
          <w:tcPr>
            <w:tcW w:w="0" w:type="auto"/>
          </w:tcPr>
          <w:p w14:paraId="154DCD5D" w14:textId="77777777" w:rsidR="00030303" w:rsidRPr="00834BF0" w:rsidRDefault="00030303" w:rsidP="00030303">
            <w:pPr>
              <w:rPr>
                <w:rFonts w:cs="Times New Roman"/>
                <w:sz w:val="19"/>
                <w:szCs w:val="19"/>
              </w:rPr>
            </w:pPr>
            <w:r w:rsidRPr="00834BF0">
              <w:rPr>
                <w:rFonts w:cs="Times New Roman"/>
                <w:sz w:val="19"/>
                <w:szCs w:val="19"/>
              </w:rPr>
              <w:t xml:space="preserve">Part 5 of the Act deals with the making of complaints about residential facilities. ‘Residential facilities’ are defined as:  </w:t>
            </w:r>
          </w:p>
          <w:p w14:paraId="64CC252D" w14:textId="77777777" w:rsidR="00030303" w:rsidRPr="00834BF0" w:rsidRDefault="00030303" w:rsidP="00030303">
            <w:pPr>
              <w:numPr>
                <w:ilvl w:val="0"/>
                <w:numId w:val="20"/>
              </w:numPr>
              <w:tabs>
                <w:tab w:val="num" w:pos="369"/>
              </w:tabs>
              <w:spacing w:after="0" w:line="240" w:lineRule="auto"/>
              <w:ind w:left="369" w:hanging="284"/>
              <w:contextualSpacing/>
              <w:rPr>
                <w:rFonts w:cs="Times New Roman"/>
                <w:sz w:val="19"/>
                <w:szCs w:val="19"/>
              </w:rPr>
            </w:pPr>
            <w:r w:rsidRPr="00834BF0">
              <w:rPr>
                <w:rFonts w:cs="Times New Roman"/>
                <w:sz w:val="19"/>
                <w:szCs w:val="19"/>
              </w:rPr>
              <w:t xml:space="preserve">secure care facilities (which, broadly, are places declared by the Minister in which compulsory </w:t>
            </w:r>
            <w:r w:rsidRPr="00834BF0">
              <w:rPr>
                <w:rFonts w:cs="Times New Roman"/>
                <w:sz w:val="19"/>
                <w:szCs w:val="19"/>
              </w:rPr>
              <w:lastRenderedPageBreak/>
              <w:t>treatment is provided to people with complex cognitive impairment);</w:t>
            </w:r>
            <w:r w:rsidRPr="00834BF0">
              <w:rPr>
                <w:rFonts w:cs="Times New Roman"/>
                <w:sz w:val="19"/>
                <w:szCs w:val="19"/>
                <w:vertAlign w:val="superscript"/>
              </w:rPr>
              <w:footnoteReference w:id="115"/>
            </w:r>
            <w:r w:rsidRPr="00834BF0">
              <w:rPr>
                <w:rFonts w:cs="Times New Roman"/>
                <w:sz w:val="19"/>
                <w:szCs w:val="19"/>
              </w:rPr>
              <w:t xml:space="preserve"> and</w:t>
            </w:r>
          </w:p>
          <w:p w14:paraId="06BB18A0" w14:textId="77777777" w:rsidR="00030303" w:rsidRPr="00834BF0" w:rsidRDefault="00030303" w:rsidP="00030303">
            <w:pPr>
              <w:numPr>
                <w:ilvl w:val="0"/>
                <w:numId w:val="20"/>
              </w:numPr>
              <w:tabs>
                <w:tab w:val="num" w:pos="369"/>
              </w:tabs>
              <w:spacing w:after="0" w:line="240" w:lineRule="auto"/>
              <w:ind w:left="369" w:hanging="284"/>
              <w:contextualSpacing/>
              <w:rPr>
                <w:rFonts w:cs="Times New Roman"/>
                <w:sz w:val="19"/>
                <w:szCs w:val="19"/>
              </w:rPr>
            </w:pPr>
            <w:r w:rsidRPr="00834BF0">
              <w:rPr>
                <w:rFonts w:cs="Times New Roman"/>
                <w:sz w:val="19"/>
                <w:szCs w:val="19"/>
              </w:rPr>
              <w:t xml:space="preserve">‘appropriate places’ (which are places mentioned in s 43ZA(1)(a)(ii) of the Criminal Code – </w:t>
            </w:r>
            <w:proofErr w:type="spellStart"/>
            <w:r w:rsidRPr="00834BF0">
              <w:rPr>
                <w:rFonts w:cs="Times New Roman"/>
                <w:sz w:val="19"/>
                <w:szCs w:val="19"/>
              </w:rPr>
              <w:t>ie</w:t>
            </w:r>
            <w:proofErr w:type="spellEnd"/>
            <w:r w:rsidRPr="00834BF0">
              <w:rPr>
                <w:rFonts w:cs="Times New Roman"/>
                <w:sz w:val="19"/>
                <w:szCs w:val="19"/>
              </w:rPr>
              <w:t>, residences for persons placed on supervision orders by a court);</w:t>
            </w:r>
            <w:r w:rsidRPr="00834BF0">
              <w:rPr>
                <w:rFonts w:cs="Times New Roman"/>
                <w:sz w:val="19"/>
                <w:szCs w:val="19"/>
                <w:vertAlign w:val="superscript"/>
              </w:rPr>
              <w:footnoteReference w:id="116"/>
            </w:r>
            <w:r w:rsidRPr="00834BF0">
              <w:rPr>
                <w:rFonts w:cs="Times New Roman"/>
                <w:sz w:val="19"/>
                <w:szCs w:val="19"/>
              </w:rPr>
              <w:t xml:space="preserve"> and</w:t>
            </w:r>
          </w:p>
          <w:p w14:paraId="52AC6D78" w14:textId="77777777" w:rsidR="00030303" w:rsidRPr="00834BF0" w:rsidRDefault="00030303" w:rsidP="00030303">
            <w:pPr>
              <w:numPr>
                <w:ilvl w:val="0"/>
                <w:numId w:val="20"/>
              </w:numPr>
              <w:tabs>
                <w:tab w:val="num" w:pos="369"/>
              </w:tabs>
              <w:spacing w:after="0" w:line="240" w:lineRule="auto"/>
              <w:ind w:left="369" w:hanging="284"/>
              <w:contextualSpacing/>
              <w:rPr>
                <w:rFonts w:cs="Times New Roman"/>
                <w:sz w:val="19"/>
                <w:szCs w:val="19"/>
              </w:rPr>
            </w:pPr>
            <w:r w:rsidRPr="00834BF0">
              <w:rPr>
                <w:rFonts w:cs="Times New Roman"/>
                <w:sz w:val="19"/>
                <w:szCs w:val="19"/>
              </w:rPr>
              <w:t xml:space="preserve">other premises </w:t>
            </w:r>
            <w:r w:rsidRPr="00834BF0">
              <w:rPr>
                <w:rFonts w:cs="Times New Roman"/>
                <w:sz w:val="19"/>
                <w:szCs w:val="19"/>
              </w:rPr>
              <w:lastRenderedPageBreak/>
              <w:t>operated by the Agency to provide services for the treatment and care of people with disability.</w:t>
            </w:r>
            <w:r w:rsidRPr="00834BF0">
              <w:rPr>
                <w:rFonts w:cs="Times New Roman"/>
                <w:sz w:val="19"/>
                <w:szCs w:val="19"/>
                <w:vertAlign w:val="superscript"/>
              </w:rPr>
              <w:footnoteReference w:id="117"/>
            </w:r>
          </w:p>
          <w:p w14:paraId="3BF0690A" w14:textId="77777777" w:rsidR="00030303" w:rsidRPr="00834BF0" w:rsidRDefault="00030303" w:rsidP="00030303">
            <w:pPr>
              <w:rPr>
                <w:rFonts w:cs="Times New Roman"/>
                <w:sz w:val="19"/>
                <w:szCs w:val="19"/>
              </w:rPr>
            </w:pPr>
            <w:r w:rsidRPr="00834BF0">
              <w:rPr>
                <w:rFonts w:cs="Times New Roman"/>
                <w:sz w:val="19"/>
                <w:szCs w:val="19"/>
              </w:rPr>
              <w:t xml:space="preserve">The manager of a residential facility must establish accessible and fair procedures for dealing with complaints relating to residents of the facility, and make information about those </w:t>
            </w:r>
            <w:r w:rsidRPr="00834BF0">
              <w:rPr>
                <w:rFonts w:cs="Times New Roman"/>
                <w:sz w:val="19"/>
                <w:szCs w:val="19"/>
              </w:rPr>
              <w:lastRenderedPageBreak/>
              <w:t>procedures available to residents (and their guardians or substitute decision-makers).</w:t>
            </w:r>
            <w:r w:rsidRPr="00834BF0">
              <w:rPr>
                <w:rFonts w:cs="Times New Roman"/>
                <w:sz w:val="19"/>
                <w:szCs w:val="19"/>
                <w:vertAlign w:val="superscript"/>
              </w:rPr>
              <w:footnoteReference w:id="118"/>
            </w:r>
            <w:r w:rsidRPr="00834BF0">
              <w:rPr>
                <w:rFonts w:cs="Times New Roman"/>
                <w:sz w:val="19"/>
                <w:szCs w:val="19"/>
              </w:rPr>
              <w:t xml:space="preserve"> </w:t>
            </w:r>
          </w:p>
          <w:p w14:paraId="10FA7350" w14:textId="77777777" w:rsidR="00030303" w:rsidRPr="00834BF0" w:rsidRDefault="00030303" w:rsidP="00030303">
            <w:pPr>
              <w:rPr>
                <w:rFonts w:cs="Times New Roman"/>
                <w:sz w:val="19"/>
                <w:szCs w:val="19"/>
              </w:rPr>
            </w:pPr>
            <w:r w:rsidRPr="00834BF0">
              <w:rPr>
                <w:rFonts w:cs="Times New Roman"/>
                <w:sz w:val="19"/>
                <w:szCs w:val="19"/>
              </w:rPr>
              <w:t>A complaint may be made by a resident, their guardian or decision-maker, their primary carer, or any other person with a genuine interest in the treatment and care of a resident.</w:t>
            </w:r>
            <w:r w:rsidRPr="00834BF0">
              <w:rPr>
                <w:rFonts w:cs="Times New Roman"/>
                <w:sz w:val="19"/>
                <w:szCs w:val="19"/>
                <w:vertAlign w:val="superscript"/>
              </w:rPr>
              <w:footnoteReference w:id="119"/>
            </w:r>
            <w:r w:rsidRPr="00834BF0">
              <w:rPr>
                <w:rFonts w:cs="Times New Roman"/>
                <w:sz w:val="19"/>
                <w:szCs w:val="19"/>
              </w:rPr>
              <w:t xml:space="preserve"> The manager of the relevant facility </w:t>
            </w:r>
            <w:r w:rsidRPr="00834BF0">
              <w:rPr>
                <w:rFonts w:cs="Times New Roman"/>
                <w:sz w:val="19"/>
                <w:szCs w:val="19"/>
              </w:rPr>
              <w:lastRenderedPageBreak/>
              <w:t>must ensure that the complaint is investigated in accordance with facility’s procedures, and keep the complainant informed of the progress of that investigation.</w:t>
            </w:r>
            <w:r w:rsidRPr="00834BF0">
              <w:rPr>
                <w:rFonts w:cs="Times New Roman"/>
                <w:sz w:val="19"/>
                <w:szCs w:val="19"/>
                <w:vertAlign w:val="superscript"/>
              </w:rPr>
              <w:footnoteReference w:id="120"/>
            </w:r>
            <w:r w:rsidRPr="00834BF0">
              <w:rPr>
                <w:rFonts w:cs="Times New Roman"/>
                <w:sz w:val="19"/>
                <w:szCs w:val="19"/>
              </w:rPr>
              <w:t xml:space="preserve"> Managers also have certain record-keeping and reporting obligations in respect of complaints.</w:t>
            </w:r>
            <w:r w:rsidRPr="00834BF0">
              <w:rPr>
                <w:rFonts w:cs="Times New Roman"/>
                <w:sz w:val="19"/>
                <w:szCs w:val="19"/>
                <w:vertAlign w:val="superscript"/>
              </w:rPr>
              <w:footnoteReference w:id="121"/>
            </w:r>
            <w:r w:rsidRPr="00834BF0">
              <w:rPr>
                <w:rFonts w:cs="Times New Roman"/>
                <w:sz w:val="19"/>
                <w:szCs w:val="19"/>
              </w:rPr>
              <w:t xml:space="preserve"> </w:t>
            </w:r>
          </w:p>
          <w:p w14:paraId="73266CE5" w14:textId="77777777" w:rsidR="00030303" w:rsidRPr="00834BF0" w:rsidRDefault="00030303" w:rsidP="00030303">
            <w:pPr>
              <w:rPr>
                <w:rFonts w:cs="Times New Roman"/>
                <w:sz w:val="19"/>
                <w:szCs w:val="19"/>
              </w:rPr>
            </w:pPr>
          </w:p>
        </w:tc>
        <w:tc>
          <w:tcPr>
            <w:tcW w:w="0" w:type="auto"/>
          </w:tcPr>
          <w:p w14:paraId="242C8D2C" w14:textId="77777777" w:rsidR="00030303" w:rsidRPr="00834BF0" w:rsidRDefault="00030303" w:rsidP="00030303">
            <w:pPr>
              <w:rPr>
                <w:rFonts w:cs="Times New Roman"/>
                <w:sz w:val="19"/>
                <w:szCs w:val="19"/>
              </w:rPr>
            </w:pPr>
            <w:r w:rsidRPr="00834BF0">
              <w:rPr>
                <w:rFonts w:cs="Times New Roman"/>
                <w:sz w:val="19"/>
                <w:szCs w:val="19"/>
              </w:rPr>
              <w:lastRenderedPageBreak/>
              <w:t>Part 3 provides for the making of complaints about the delivery of disability services by the Department of Communities, Disability Services and Seniors, and service providers funded by the Department.</w:t>
            </w:r>
            <w:r w:rsidRPr="00834BF0">
              <w:rPr>
                <w:rFonts w:cs="Times New Roman"/>
                <w:sz w:val="19"/>
                <w:szCs w:val="19"/>
                <w:vertAlign w:val="superscript"/>
              </w:rPr>
              <w:footnoteReference w:id="122"/>
            </w:r>
            <w:r w:rsidRPr="00834BF0">
              <w:rPr>
                <w:rFonts w:cs="Times New Roman"/>
                <w:sz w:val="19"/>
                <w:szCs w:val="19"/>
              </w:rPr>
              <w:t xml:space="preserve"> Broadly speaking, complaints may </w:t>
            </w:r>
            <w:r w:rsidRPr="00834BF0">
              <w:rPr>
                <w:rFonts w:cs="Times New Roman"/>
                <w:sz w:val="19"/>
                <w:szCs w:val="19"/>
              </w:rPr>
              <w:lastRenderedPageBreak/>
              <w:t>be made to the chief executive of the Department, who must maintain a system that deals effectively with complaints received,</w:t>
            </w:r>
            <w:r w:rsidRPr="00834BF0">
              <w:rPr>
                <w:rFonts w:cs="Times New Roman"/>
                <w:sz w:val="19"/>
                <w:szCs w:val="19"/>
                <w:vertAlign w:val="superscript"/>
              </w:rPr>
              <w:footnoteReference w:id="123"/>
            </w:r>
            <w:r w:rsidRPr="00834BF0">
              <w:rPr>
                <w:rFonts w:cs="Times New Roman"/>
                <w:sz w:val="19"/>
                <w:szCs w:val="19"/>
              </w:rPr>
              <w:t xml:space="preserve"> and may also refer complaints to other relevant agencies.</w:t>
            </w:r>
            <w:r w:rsidRPr="00834BF0">
              <w:rPr>
                <w:rFonts w:cs="Times New Roman"/>
                <w:sz w:val="19"/>
                <w:szCs w:val="19"/>
                <w:vertAlign w:val="superscript"/>
              </w:rPr>
              <w:footnoteReference w:id="124"/>
            </w:r>
            <w:r w:rsidRPr="00834BF0">
              <w:rPr>
                <w:rFonts w:cs="Times New Roman"/>
                <w:sz w:val="19"/>
                <w:szCs w:val="19"/>
              </w:rPr>
              <w:t xml:space="preserve"> </w:t>
            </w:r>
          </w:p>
          <w:p w14:paraId="5C308DC0" w14:textId="77777777" w:rsidR="00030303" w:rsidRPr="00834BF0" w:rsidRDefault="00030303" w:rsidP="00030303">
            <w:pPr>
              <w:rPr>
                <w:rFonts w:cs="Times New Roman"/>
                <w:sz w:val="19"/>
                <w:szCs w:val="19"/>
              </w:rPr>
            </w:pPr>
          </w:p>
        </w:tc>
        <w:tc>
          <w:tcPr>
            <w:tcW w:w="0" w:type="auto"/>
          </w:tcPr>
          <w:p w14:paraId="4DBAE481" w14:textId="77777777" w:rsidR="00030303" w:rsidRPr="00834BF0" w:rsidRDefault="00030303" w:rsidP="00030303">
            <w:pPr>
              <w:rPr>
                <w:rFonts w:cs="Times New Roman"/>
                <w:sz w:val="19"/>
                <w:szCs w:val="19"/>
              </w:rPr>
            </w:pPr>
          </w:p>
        </w:tc>
        <w:tc>
          <w:tcPr>
            <w:tcW w:w="0" w:type="auto"/>
          </w:tcPr>
          <w:p w14:paraId="15DCF5F8" w14:textId="77777777" w:rsidR="00030303" w:rsidRPr="00834BF0" w:rsidRDefault="00030303" w:rsidP="00030303">
            <w:pPr>
              <w:rPr>
                <w:rFonts w:cs="Times New Roman"/>
                <w:sz w:val="19"/>
                <w:szCs w:val="19"/>
              </w:rPr>
            </w:pPr>
          </w:p>
        </w:tc>
        <w:tc>
          <w:tcPr>
            <w:tcW w:w="0" w:type="auto"/>
          </w:tcPr>
          <w:p w14:paraId="58D4DB0C" w14:textId="77777777" w:rsidR="00030303" w:rsidRPr="00834BF0" w:rsidRDefault="00030303" w:rsidP="00030303">
            <w:pPr>
              <w:rPr>
                <w:rFonts w:cs="Times New Roman"/>
                <w:sz w:val="19"/>
                <w:szCs w:val="19"/>
              </w:rPr>
            </w:pPr>
            <w:r w:rsidRPr="00834BF0">
              <w:rPr>
                <w:rFonts w:cs="Times New Roman"/>
                <w:sz w:val="19"/>
                <w:szCs w:val="19"/>
              </w:rPr>
              <w:t xml:space="preserve">Part 6 establishes quality and safeguards arrangements that apply to such providers (including in respect of the making and investigation of complaints). These provisions are of limited relevance following the rollout of the NDIS in Victoria.  </w:t>
            </w:r>
          </w:p>
          <w:p w14:paraId="78E43EC9" w14:textId="77777777" w:rsidR="00030303" w:rsidRPr="00834BF0" w:rsidRDefault="00030303" w:rsidP="00030303">
            <w:pPr>
              <w:rPr>
                <w:rFonts w:cs="Times New Roman"/>
                <w:sz w:val="19"/>
                <w:szCs w:val="19"/>
              </w:rPr>
            </w:pPr>
            <w:r w:rsidRPr="00834BF0">
              <w:rPr>
                <w:rFonts w:cs="Times New Roman"/>
                <w:sz w:val="19"/>
                <w:szCs w:val="19"/>
              </w:rPr>
              <w:lastRenderedPageBreak/>
              <w:t xml:space="preserve">The </w:t>
            </w:r>
            <w:r w:rsidRPr="00834BF0">
              <w:rPr>
                <w:rFonts w:cs="Times New Roman"/>
                <w:i/>
                <w:sz w:val="19"/>
                <w:szCs w:val="19"/>
              </w:rPr>
              <w:t>Disability Service Safeguards Act 2018</w:t>
            </w:r>
            <w:r w:rsidRPr="00834BF0">
              <w:rPr>
                <w:rFonts w:cs="Times New Roman"/>
                <w:sz w:val="19"/>
                <w:szCs w:val="19"/>
              </w:rPr>
              <w:t xml:space="preserve"> (Vic) also contains a further complaints process which applies workers in the disability sector generally (</w:t>
            </w:r>
            <w:proofErr w:type="spellStart"/>
            <w:r w:rsidRPr="00834BF0">
              <w:rPr>
                <w:rFonts w:cs="Times New Roman"/>
                <w:sz w:val="19"/>
                <w:szCs w:val="19"/>
              </w:rPr>
              <w:t>ie</w:t>
            </w:r>
            <w:proofErr w:type="spellEnd"/>
            <w:r w:rsidRPr="00834BF0">
              <w:rPr>
                <w:rFonts w:cs="Times New Roman"/>
                <w:sz w:val="19"/>
                <w:szCs w:val="19"/>
              </w:rPr>
              <w:t xml:space="preserve">, not only workers engaged by registered NDIS providers). Complaints under the </w:t>
            </w:r>
            <w:r w:rsidRPr="00834BF0">
              <w:rPr>
                <w:rFonts w:cs="Times New Roman"/>
                <w:i/>
                <w:sz w:val="19"/>
                <w:szCs w:val="19"/>
              </w:rPr>
              <w:t>Disability Service Safeguards Act 2018</w:t>
            </w:r>
            <w:r w:rsidRPr="00834BF0">
              <w:rPr>
                <w:rFonts w:cs="Times New Roman"/>
                <w:sz w:val="19"/>
                <w:szCs w:val="19"/>
              </w:rPr>
              <w:t xml:space="preserve"> (Vic) are managed by the Disability Services Commissioner </w:t>
            </w:r>
            <w:r w:rsidRPr="00834BF0">
              <w:rPr>
                <w:rFonts w:cs="Times New Roman"/>
                <w:sz w:val="19"/>
                <w:szCs w:val="19"/>
              </w:rPr>
              <w:lastRenderedPageBreak/>
              <w:t>and the Disability Services Board.</w:t>
            </w:r>
          </w:p>
        </w:tc>
        <w:tc>
          <w:tcPr>
            <w:tcW w:w="0" w:type="auto"/>
          </w:tcPr>
          <w:p w14:paraId="6749A6A5" w14:textId="77777777" w:rsidR="00030303" w:rsidRPr="00834BF0" w:rsidRDefault="00030303" w:rsidP="00030303">
            <w:pPr>
              <w:rPr>
                <w:rFonts w:cs="Times New Roman"/>
                <w:sz w:val="19"/>
                <w:szCs w:val="19"/>
              </w:rPr>
            </w:pPr>
            <w:r w:rsidRPr="00834BF0">
              <w:rPr>
                <w:rFonts w:cs="Times New Roman"/>
                <w:sz w:val="19"/>
                <w:szCs w:val="19"/>
              </w:rPr>
              <w:lastRenderedPageBreak/>
              <w:t xml:space="preserve">Part 6 of the Act deals with the making and management of complaints about certain disability and residential services to the Director of the Health and Disability Services Complaints Office (appointed under the </w:t>
            </w:r>
            <w:r w:rsidRPr="00834BF0">
              <w:rPr>
                <w:rFonts w:cs="Times New Roman"/>
                <w:i/>
                <w:sz w:val="19"/>
                <w:szCs w:val="19"/>
              </w:rPr>
              <w:t xml:space="preserve">Health and Disability </w:t>
            </w:r>
            <w:r w:rsidRPr="00834BF0">
              <w:rPr>
                <w:rFonts w:cs="Times New Roman"/>
                <w:i/>
                <w:sz w:val="19"/>
                <w:szCs w:val="19"/>
              </w:rPr>
              <w:lastRenderedPageBreak/>
              <w:t xml:space="preserve">Services (Complaints) Act 1995 </w:t>
            </w:r>
            <w:r w:rsidRPr="00834BF0">
              <w:rPr>
                <w:rFonts w:cs="Times New Roman"/>
                <w:sz w:val="19"/>
                <w:szCs w:val="19"/>
              </w:rPr>
              <w:t>(WA)).</w:t>
            </w:r>
            <w:r w:rsidRPr="00834BF0">
              <w:rPr>
                <w:rFonts w:cs="Times New Roman"/>
                <w:sz w:val="19"/>
                <w:szCs w:val="19"/>
                <w:vertAlign w:val="superscript"/>
              </w:rPr>
              <w:footnoteReference w:id="125"/>
            </w:r>
            <w:r w:rsidRPr="00834BF0">
              <w:rPr>
                <w:rFonts w:cs="Times New Roman"/>
                <w:sz w:val="19"/>
                <w:szCs w:val="19"/>
              </w:rPr>
              <w:t xml:space="preserve"> </w:t>
            </w:r>
          </w:p>
          <w:p w14:paraId="0F8AEB13" w14:textId="77777777" w:rsidR="00030303" w:rsidRPr="00834BF0" w:rsidRDefault="00030303" w:rsidP="00030303">
            <w:pPr>
              <w:rPr>
                <w:rFonts w:cs="Times New Roman"/>
                <w:sz w:val="19"/>
                <w:szCs w:val="19"/>
              </w:rPr>
            </w:pPr>
            <w:r w:rsidRPr="00834BF0">
              <w:rPr>
                <w:rFonts w:cs="Times New Roman"/>
                <w:sz w:val="19"/>
                <w:szCs w:val="19"/>
              </w:rPr>
              <w:t>Various persons may complain to the Director about:</w:t>
            </w:r>
            <w:r w:rsidRPr="00834BF0">
              <w:rPr>
                <w:rFonts w:cs="Times New Roman"/>
                <w:sz w:val="19"/>
                <w:szCs w:val="19"/>
                <w:vertAlign w:val="superscript"/>
              </w:rPr>
              <w:footnoteReference w:id="126"/>
            </w:r>
          </w:p>
          <w:p w14:paraId="5F68F74A" w14:textId="77777777" w:rsidR="00030303" w:rsidRPr="00834BF0" w:rsidRDefault="00030303" w:rsidP="00030303">
            <w:pPr>
              <w:numPr>
                <w:ilvl w:val="0"/>
                <w:numId w:val="20"/>
              </w:numPr>
              <w:tabs>
                <w:tab w:val="num" w:pos="369"/>
              </w:tabs>
              <w:spacing w:after="0" w:line="240" w:lineRule="auto"/>
              <w:ind w:left="369" w:hanging="284"/>
              <w:contextualSpacing/>
              <w:rPr>
                <w:rFonts w:cs="Times New Roman"/>
                <w:sz w:val="19"/>
                <w:szCs w:val="19"/>
              </w:rPr>
            </w:pPr>
            <w:r w:rsidRPr="00834BF0">
              <w:rPr>
                <w:rFonts w:cs="Times New Roman"/>
                <w:sz w:val="19"/>
                <w:szCs w:val="19"/>
              </w:rPr>
              <w:t xml:space="preserve">a service provider that was providing a disability service at the relevant time; </w:t>
            </w:r>
          </w:p>
          <w:p w14:paraId="58E3C559" w14:textId="77777777" w:rsidR="00030303" w:rsidRPr="00834BF0" w:rsidRDefault="00030303" w:rsidP="00030303">
            <w:pPr>
              <w:numPr>
                <w:ilvl w:val="0"/>
                <w:numId w:val="20"/>
              </w:numPr>
              <w:tabs>
                <w:tab w:val="num" w:pos="369"/>
              </w:tabs>
              <w:spacing w:after="0" w:line="240" w:lineRule="auto"/>
              <w:ind w:left="369" w:hanging="284"/>
              <w:contextualSpacing/>
              <w:rPr>
                <w:rFonts w:cs="Times New Roman"/>
                <w:sz w:val="19"/>
                <w:szCs w:val="19"/>
              </w:rPr>
            </w:pPr>
            <w:r w:rsidRPr="00834BF0">
              <w:rPr>
                <w:rFonts w:cs="Times New Roman"/>
                <w:sz w:val="19"/>
                <w:szCs w:val="19"/>
              </w:rPr>
              <w:t xml:space="preserve">a service provider that is a public authority (other than the Health </w:t>
            </w:r>
            <w:r w:rsidRPr="00834BF0">
              <w:rPr>
                <w:rFonts w:cs="Times New Roman"/>
                <w:sz w:val="19"/>
                <w:szCs w:val="19"/>
              </w:rPr>
              <w:lastRenderedPageBreak/>
              <w:t>Department), and was providing a disability service at the relevant time; or</w:t>
            </w:r>
          </w:p>
          <w:p w14:paraId="3516BDA7" w14:textId="77777777" w:rsidR="00030303" w:rsidRPr="00834BF0" w:rsidRDefault="00030303" w:rsidP="00030303">
            <w:pPr>
              <w:numPr>
                <w:ilvl w:val="0"/>
                <w:numId w:val="20"/>
              </w:numPr>
              <w:tabs>
                <w:tab w:val="num" w:pos="369"/>
              </w:tabs>
              <w:spacing w:after="0" w:line="240" w:lineRule="auto"/>
              <w:ind w:left="369" w:hanging="284"/>
              <w:contextualSpacing/>
              <w:rPr>
                <w:rFonts w:cs="Times New Roman"/>
                <w:sz w:val="19"/>
                <w:szCs w:val="19"/>
              </w:rPr>
            </w:pPr>
            <w:r w:rsidRPr="00834BF0">
              <w:rPr>
                <w:rFonts w:cs="Times New Roman"/>
                <w:sz w:val="19"/>
                <w:szCs w:val="19"/>
              </w:rPr>
              <w:t xml:space="preserve">the </w:t>
            </w:r>
            <w:r w:rsidRPr="00834BF0">
              <w:rPr>
                <w:rFonts w:eastAsia="Times New Roman" w:cs="Times New Roman"/>
                <w:sz w:val="19"/>
                <w:szCs w:val="19"/>
                <w:lang w:eastAsia="en-AU"/>
              </w:rPr>
              <w:t>Commission</w:t>
            </w:r>
            <w:r w:rsidRPr="00834BF0">
              <w:rPr>
                <w:rFonts w:cs="Times New Roman"/>
                <w:sz w:val="19"/>
                <w:szCs w:val="19"/>
              </w:rPr>
              <w:t>.</w:t>
            </w:r>
            <w:r w:rsidRPr="00834BF0">
              <w:rPr>
                <w:rFonts w:cs="Times New Roman"/>
                <w:sz w:val="19"/>
                <w:szCs w:val="19"/>
                <w:vertAlign w:val="superscript"/>
              </w:rPr>
              <w:footnoteReference w:id="127"/>
            </w:r>
          </w:p>
          <w:p w14:paraId="44766CBC" w14:textId="77777777" w:rsidR="00030303" w:rsidRPr="00834BF0" w:rsidRDefault="00030303" w:rsidP="00030303">
            <w:pPr>
              <w:rPr>
                <w:rFonts w:cs="Times New Roman"/>
                <w:sz w:val="19"/>
                <w:szCs w:val="19"/>
              </w:rPr>
            </w:pPr>
            <w:r w:rsidRPr="00834BF0">
              <w:rPr>
                <w:rFonts w:cs="Times New Roman"/>
                <w:sz w:val="19"/>
                <w:szCs w:val="19"/>
              </w:rPr>
              <w:t>‘</w:t>
            </w:r>
            <w:r w:rsidRPr="00834BF0">
              <w:rPr>
                <w:rFonts w:eastAsia="Times New Roman" w:cs="Times New Roman"/>
                <w:sz w:val="19"/>
                <w:szCs w:val="19"/>
                <w:lang w:eastAsia="en-AU"/>
              </w:rPr>
              <w:t>Disability</w:t>
            </w:r>
            <w:r w:rsidRPr="00834BF0">
              <w:rPr>
                <w:rFonts w:cs="Times New Roman"/>
                <w:sz w:val="19"/>
                <w:szCs w:val="19"/>
              </w:rPr>
              <w:t xml:space="preserve"> service’ is defined in s 3 as a service provided specifically for people with disability or carers, but excludes services funded by the Health </w:t>
            </w:r>
            <w:r w:rsidRPr="00834BF0">
              <w:rPr>
                <w:rFonts w:cs="Times New Roman"/>
                <w:sz w:val="19"/>
                <w:szCs w:val="19"/>
              </w:rPr>
              <w:lastRenderedPageBreak/>
              <w:t xml:space="preserve">Department or the Commonwealth, services provided by a </w:t>
            </w:r>
            <w:proofErr w:type="spellStart"/>
            <w:r w:rsidRPr="00834BF0">
              <w:rPr>
                <w:rFonts w:cs="Times New Roman"/>
                <w:sz w:val="19"/>
                <w:szCs w:val="19"/>
              </w:rPr>
              <w:t>carer</w:t>
            </w:r>
            <w:proofErr w:type="spellEnd"/>
            <w:r w:rsidRPr="00834BF0">
              <w:rPr>
                <w:rFonts w:cs="Times New Roman"/>
                <w:sz w:val="19"/>
                <w:szCs w:val="19"/>
              </w:rPr>
              <w:t>, or services prescribed by regulation.</w:t>
            </w:r>
            <w:r w:rsidRPr="00834BF0">
              <w:rPr>
                <w:rFonts w:cs="Times New Roman"/>
                <w:sz w:val="19"/>
                <w:szCs w:val="19"/>
                <w:vertAlign w:val="superscript"/>
              </w:rPr>
              <w:footnoteReference w:id="128"/>
            </w:r>
          </w:p>
        </w:tc>
      </w:tr>
      <w:tr w:rsidR="00030303" w:rsidRPr="00834BF0" w14:paraId="1BE27389" w14:textId="77777777" w:rsidTr="00030303">
        <w:tc>
          <w:tcPr>
            <w:tcW w:w="0" w:type="auto"/>
          </w:tcPr>
          <w:p w14:paraId="52CAA7EE" w14:textId="77777777" w:rsidR="00030303" w:rsidRPr="00834BF0" w:rsidRDefault="00030303" w:rsidP="00030303">
            <w:pPr>
              <w:rPr>
                <w:rFonts w:cs="Times New Roman"/>
                <w:b/>
                <w:sz w:val="19"/>
                <w:szCs w:val="19"/>
              </w:rPr>
            </w:pPr>
            <w:r w:rsidRPr="00834BF0">
              <w:rPr>
                <w:rFonts w:cs="Times New Roman"/>
                <w:b/>
                <w:sz w:val="19"/>
                <w:szCs w:val="19"/>
              </w:rPr>
              <w:lastRenderedPageBreak/>
              <w:t xml:space="preserve">Compliance monitoring - disability </w:t>
            </w:r>
            <w:r w:rsidRPr="00834BF0">
              <w:rPr>
                <w:rFonts w:cs="Times New Roman"/>
                <w:b/>
                <w:sz w:val="19"/>
                <w:szCs w:val="19"/>
              </w:rPr>
              <w:lastRenderedPageBreak/>
              <w:t>services legislation</w:t>
            </w:r>
          </w:p>
        </w:tc>
        <w:tc>
          <w:tcPr>
            <w:tcW w:w="0" w:type="auto"/>
          </w:tcPr>
          <w:p w14:paraId="43992D47" w14:textId="77777777" w:rsidR="00030303" w:rsidRPr="00834BF0" w:rsidRDefault="00030303" w:rsidP="00030303">
            <w:pPr>
              <w:rPr>
                <w:rFonts w:cs="Times New Roman"/>
                <w:sz w:val="19"/>
                <w:szCs w:val="19"/>
              </w:rPr>
            </w:pPr>
            <w:r w:rsidRPr="00834BF0">
              <w:rPr>
                <w:rFonts w:cs="Times New Roman"/>
                <w:sz w:val="19"/>
                <w:szCs w:val="19"/>
              </w:rPr>
              <w:lastRenderedPageBreak/>
              <w:t xml:space="preserve">See below under the </w:t>
            </w:r>
            <w:r w:rsidRPr="00834BF0">
              <w:rPr>
                <w:rFonts w:cs="Times New Roman"/>
                <w:i/>
                <w:sz w:val="19"/>
                <w:szCs w:val="19"/>
              </w:rPr>
              <w:t>Human Rights Commission Act 2005</w:t>
            </w:r>
            <w:r w:rsidRPr="00834BF0">
              <w:rPr>
                <w:rFonts w:cs="Times New Roman"/>
                <w:sz w:val="19"/>
                <w:szCs w:val="19"/>
              </w:rPr>
              <w:t xml:space="preserve"> (ACT) in </w:t>
            </w:r>
            <w:r w:rsidRPr="00834BF0">
              <w:rPr>
                <w:rFonts w:cs="Times New Roman"/>
                <w:sz w:val="19"/>
                <w:szCs w:val="19"/>
              </w:rPr>
              <w:lastRenderedPageBreak/>
              <w:t>relation to the Disability and Community Services Commissioner.</w:t>
            </w:r>
          </w:p>
        </w:tc>
        <w:tc>
          <w:tcPr>
            <w:tcW w:w="0" w:type="auto"/>
          </w:tcPr>
          <w:p w14:paraId="666AD222" w14:textId="77777777" w:rsidR="00030303" w:rsidRPr="00834BF0" w:rsidRDefault="00030303" w:rsidP="00030303">
            <w:pPr>
              <w:rPr>
                <w:rFonts w:cs="Times New Roman"/>
                <w:sz w:val="19"/>
                <w:szCs w:val="19"/>
              </w:rPr>
            </w:pPr>
            <w:r w:rsidRPr="00834BF0">
              <w:rPr>
                <w:rFonts w:cs="Times New Roman"/>
                <w:sz w:val="19"/>
                <w:szCs w:val="19"/>
              </w:rPr>
              <w:lastRenderedPageBreak/>
              <w:t xml:space="preserve">Dealt with under the </w:t>
            </w:r>
            <w:r w:rsidRPr="00834BF0">
              <w:rPr>
                <w:rFonts w:cs="Times New Roman"/>
                <w:i/>
                <w:sz w:val="19"/>
                <w:szCs w:val="19"/>
              </w:rPr>
              <w:t xml:space="preserve">Ageing and Disability Commissioner </w:t>
            </w:r>
            <w:r w:rsidRPr="00834BF0">
              <w:rPr>
                <w:rFonts w:cs="Times New Roman"/>
                <w:i/>
                <w:sz w:val="19"/>
                <w:szCs w:val="19"/>
              </w:rPr>
              <w:lastRenderedPageBreak/>
              <w:t>Act 2019</w:t>
            </w:r>
            <w:r w:rsidRPr="00834BF0">
              <w:rPr>
                <w:rFonts w:cs="Times New Roman"/>
                <w:sz w:val="19"/>
                <w:szCs w:val="19"/>
              </w:rPr>
              <w:t xml:space="preserve"> (NSW) below.</w:t>
            </w:r>
          </w:p>
        </w:tc>
        <w:tc>
          <w:tcPr>
            <w:tcW w:w="0" w:type="auto"/>
          </w:tcPr>
          <w:p w14:paraId="2B0C5E49" w14:textId="77777777" w:rsidR="00030303" w:rsidRPr="00834BF0" w:rsidRDefault="00030303" w:rsidP="00030303">
            <w:pPr>
              <w:rPr>
                <w:rFonts w:cs="Times New Roman"/>
                <w:sz w:val="19"/>
                <w:szCs w:val="19"/>
              </w:rPr>
            </w:pPr>
            <w:r w:rsidRPr="00834BF0">
              <w:rPr>
                <w:rFonts w:cs="Times New Roman"/>
                <w:sz w:val="19"/>
                <w:szCs w:val="19"/>
              </w:rPr>
              <w:lastRenderedPageBreak/>
              <w:t xml:space="preserve">See below under the </w:t>
            </w:r>
            <w:r w:rsidRPr="00834BF0">
              <w:rPr>
                <w:rFonts w:cs="Times New Roman"/>
                <w:i/>
                <w:sz w:val="19"/>
                <w:szCs w:val="19"/>
              </w:rPr>
              <w:t xml:space="preserve">Health and Community Services </w:t>
            </w:r>
            <w:r w:rsidRPr="00834BF0">
              <w:rPr>
                <w:rFonts w:cs="Times New Roman"/>
                <w:i/>
                <w:sz w:val="19"/>
                <w:szCs w:val="19"/>
              </w:rPr>
              <w:lastRenderedPageBreak/>
              <w:t xml:space="preserve">Complaints Act 1998 </w:t>
            </w:r>
            <w:r w:rsidRPr="00834BF0">
              <w:rPr>
                <w:rFonts w:cs="Times New Roman"/>
                <w:sz w:val="19"/>
                <w:szCs w:val="19"/>
              </w:rPr>
              <w:t>(NT).</w:t>
            </w:r>
          </w:p>
        </w:tc>
        <w:tc>
          <w:tcPr>
            <w:tcW w:w="0" w:type="auto"/>
          </w:tcPr>
          <w:p w14:paraId="1489DAA2" w14:textId="77777777" w:rsidR="00030303" w:rsidRPr="00834BF0" w:rsidRDefault="00030303" w:rsidP="00030303">
            <w:pPr>
              <w:rPr>
                <w:rFonts w:cs="Times New Roman"/>
                <w:sz w:val="19"/>
                <w:szCs w:val="19"/>
              </w:rPr>
            </w:pPr>
            <w:r w:rsidRPr="00834BF0">
              <w:rPr>
                <w:rFonts w:cs="Times New Roman"/>
                <w:sz w:val="19"/>
                <w:szCs w:val="19"/>
              </w:rPr>
              <w:lastRenderedPageBreak/>
              <w:t xml:space="preserve">Part 6A of the Act confers functions and powers on authorised </w:t>
            </w:r>
            <w:r w:rsidRPr="00834BF0">
              <w:rPr>
                <w:rFonts w:cs="Times New Roman"/>
                <w:sz w:val="19"/>
                <w:szCs w:val="19"/>
              </w:rPr>
              <w:lastRenderedPageBreak/>
              <w:t>officers to investigate compliance with the Act. Their functions include investigating, monitoring and ensuring compliance of NDIS non-government service providers with the Act.</w:t>
            </w:r>
            <w:r w:rsidRPr="00834BF0">
              <w:rPr>
                <w:rFonts w:cs="Times New Roman"/>
                <w:sz w:val="19"/>
                <w:szCs w:val="19"/>
                <w:vertAlign w:val="superscript"/>
              </w:rPr>
              <w:footnoteReference w:id="129"/>
            </w:r>
            <w:r w:rsidRPr="00834BF0">
              <w:rPr>
                <w:rFonts w:cs="Times New Roman"/>
                <w:sz w:val="19"/>
                <w:szCs w:val="19"/>
              </w:rPr>
              <w:t xml:space="preserve"> Authorised officers have a range of powers, including the ability to require the provision of information and enter premises </w:t>
            </w:r>
            <w:r w:rsidRPr="00834BF0">
              <w:rPr>
                <w:rFonts w:cs="Times New Roman"/>
                <w:sz w:val="19"/>
                <w:szCs w:val="19"/>
              </w:rPr>
              <w:lastRenderedPageBreak/>
              <w:t>under warrant.</w:t>
            </w:r>
            <w:r w:rsidRPr="00834BF0">
              <w:rPr>
                <w:rFonts w:cs="Times New Roman"/>
                <w:sz w:val="19"/>
                <w:szCs w:val="19"/>
                <w:vertAlign w:val="superscript"/>
              </w:rPr>
              <w:footnoteReference w:id="130"/>
            </w:r>
          </w:p>
        </w:tc>
        <w:tc>
          <w:tcPr>
            <w:tcW w:w="0" w:type="auto"/>
          </w:tcPr>
          <w:p w14:paraId="0795309A" w14:textId="77777777" w:rsidR="00030303" w:rsidRPr="00834BF0" w:rsidRDefault="00030303" w:rsidP="00030303">
            <w:pPr>
              <w:rPr>
                <w:rFonts w:cs="Times New Roman"/>
                <w:sz w:val="19"/>
                <w:szCs w:val="19"/>
              </w:rPr>
            </w:pPr>
            <w:r w:rsidRPr="00834BF0">
              <w:rPr>
                <w:rFonts w:cs="Times New Roman"/>
                <w:sz w:val="19"/>
                <w:szCs w:val="19"/>
              </w:rPr>
              <w:lastRenderedPageBreak/>
              <w:t xml:space="preserve">See below under the </w:t>
            </w:r>
            <w:r w:rsidRPr="00834BF0">
              <w:rPr>
                <w:rFonts w:cs="Times New Roman"/>
                <w:i/>
                <w:sz w:val="19"/>
                <w:szCs w:val="19"/>
              </w:rPr>
              <w:t xml:space="preserve">Ageing and Adult </w:t>
            </w:r>
            <w:r w:rsidRPr="00834BF0">
              <w:rPr>
                <w:rFonts w:cs="Times New Roman"/>
                <w:i/>
                <w:sz w:val="19"/>
                <w:szCs w:val="19"/>
              </w:rPr>
              <w:lastRenderedPageBreak/>
              <w:t>Safeguarding Act 1995</w:t>
            </w:r>
            <w:r w:rsidRPr="00834BF0">
              <w:rPr>
                <w:rFonts w:cs="Times New Roman"/>
                <w:sz w:val="19"/>
                <w:szCs w:val="19"/>
              </w:rPr>
              <w:t xml:space="preserve"> (SA).</w:t>
            </w:r>
          </w:p>
        </w:tc>
        <w:tc>
          <w:tcPr>
            <w:tcW w:w="0" w:type="auto"/>
          </w:tcPr>
          <w:p w14:paraId="01763CD2" w14:textId="77777777" w:rsidR="00030303" w:rsidRPr="00834BF0" w:rsidRDefault="00030303" w:rsidP="00030303">
            <w:pPr>
              <w:rPr>
                <w:rFonts w:cs="Times New Roman"/>
                <w:sz w:val="19"/>
                <w:szCs w:val="19"/>
              </w:rPr>
            </w:pPr>
            <w:r w:rsidRPr="00834BF0">
              <w:rPr>
                <w:rFonts w:cs="Times New Roman"/>
                <w:sz w:val="19"/>
                <w:szCs w:val="19"/>
              </w:rPr>
              <w:lastRenderedPageBreak/>
              <w:t xml:space="preserve">Part 4 of the Act provides for the monitoring and review of grants. This includes </w:t>
            </w:r>
            <w:r w:rsidRPr="00834BF0">
              <w:rPr>
                <w:rFonts w:cs="Times New Roman"/>
                <w:sz w:val="19"/>
                <w:szCs w:val="19"/>
              </w:rPr>
              <w:lastRenderedPageBreak/>
              <w:t>terminating funding for continued non-compliance with the terms of a grant.</w:t>
            </w:r>
            <w:r w:rsidRPr="00834BF0">
              <w:rPr>
                <w:rFonts w:cs="Times New Roman"/>
                <w:sz w:val="19"/>
                <w:szCs w:val="19"/>
                <w:vertAlign w:val="superscript"/>
              </w:rPr>
              <w:footnoteReference w:id="131"/>
            </w:r>
          </w:p>
        </w:tc>
        <w:tc>
          <w:tcPr>
            <w:tcW w:w="0" w:type="auto"/>
          </w:tcPr>
          <w:p w14:paraId="3007F299" w14:textId="77777777" w:rsidR="00030303" w:rsidRPr="00834BF0" w:rsidRDefault="00030303" w:rsidP="00030303">
            <w:pPr>
              <w:rPr>
                <w:rFonts w:cs="Times New Roman"/>
                <w:sz w:val="19"/>
                <w:szCs w:val="19"/>
              </w:rPr>
            </w:pPr>
            <w:r w:rsidRPr="00834BF0">
              <w:rPr>
                <w:rFonts w:cs="Times New Roman"/>
                <w:sz w:val="19"/>
                <w:szCs w:val="19"/>
              </w:rPr>
              <w:lastRenderedPageBreak/>
              <w:t xml:space="preserve">Part 3 of the Act establishes a range of bodies and statutory offices relevant to </w:t>
            </w:r>
            <w:r w:rsidRPr="00834BF0">
              <w:rPr>
                <w:rFonts w:cs="Times New Roman"/>
                <w:sz w:val="19"/>
                <w:szCs w:val="19"/>
              </w:rPr>
              <w:lastRenderedPageBreak/>
              <w:t>the planning, provision and oversight of disability services, including:</w:t>
            </w:r>
          </w:p>
          <w:p w14:paraId="3BF294CD" w14:textId="77777777" w:rsidR="00030303" w:rsidRPr="00834BF0" w:rsidRDefault="00030303" w:rsidP="00030303">
            <w:pPr>
              <w:numPr>
                <w:ilvl w:val="0"/>
                <w:numId w:val="20"/>
              </w:numPr>
              <w:tabs>
                <w:tab w:val="num" w:pos="369"/>
              </w:tabs>
              <w:spacing w:after="0" w:line="240" w:lineRule="auto"/>
              <w:ind w:left="369" w:hanging="284"/>
              <w:contextualSpacing/>
              <w:rPr>
                <w:rFonts w:cs="Times New Roman"/>
                <w:sz w:val="19"/>
                <w:szCs w:val="19"/>
              </w:rPr>
            </w:pPr>
            <w:r w:rsidRPr="00834BF0">
              <w:rPr>
                <w:rFonts w:cs="Times New Roman"/>
                <w:sz w:val="19"/>
                <w:szCs w:val="19"/>
              </w:rPr>
              <w:t xml:space="preserve">the Disability Services Commissioner – a statutory office-holder appointed by the Governor in Council, responsible for matters such as investigating and conciliating complaints about disability services, identifying and suggesting ways to remove the </w:t>
            </w:r>
            <w:r w:rsidRPr="00834BF0">
              <w:rPr>
                <w:rFonts w:cs="Times New Roman"/>
                <w:sz w:val="19"/>
                <w:szCs w:val="19"/>
              </w:rPr>
              <w:lastRenderedPageBreak/>
              <w:t>causes of abuse and neglect in disability services, and performing advisory, educational and research functions, and</w:t>
            </w:r>
          </w:p>
          <w:p w14:paraId="64434ACF" w14:textId="77777777" w:rsidR="00030303" w:rsidRPr="00834BF0" w:rsidRDefault="00030303" w:rsidP="00030303">
            <w:pPr>
              <w:numPr>
                <w:ilvl w:val="0"/>
                <w:numId w:val="20"/>
              </w:numPr>
              <w:tabs>
                <w:tab w:val="num" w:pos="369"/>
              </w:tabs>
              <w:spacing w:after="0" w:line="240" w:lineRule="auto"/>
              <w:ind w:left="369" w:hanging="284"/>
              <w:contextualSpacing/>
              <w:rPr>
                <w:rFonts w:cs="Times New Roman"/>
                <w:sz w:val="19"/>
                <w:szCs w:val="19"/>
              </w:rPr>
            </w:pPr>
            <w:r w:rsidRPr="00834BF0">
              <w:rPr>
                <w:rFonts w:cs="Times New Roman"/>
                <w:sz w:val="19"/>
                <w:szCs w:val="19"/>
              </w:rPr>
              <w:t>the Disability Services Board – a board comprised of members representing service providers, service users, the Secretary and the Health Complaints Commissioner (among others).</w:t>
            </w:r>
            <w:r w:rsidRPr="00834BF0">
              <w:rPr>
                <w:rFonts w:cs="Times New Roman"/>
                <w:sz w:val="19"/>
                <w:szCs w:val="19"/>
                <w:vertAlign w:val="superscript"/>
              </w:rPr>
              <w:footnoteReference w:id="132"/>
            </w:r>
            <w:r w:rsidRPr="00834BF0">
              <w:rPr>
                <w:rFonts w:cs="Times New Roman"/>
                <w:sz w:val="19"/>
                <w:szCs w:val="19"/>
              </w:rPr>
              <w:t xml:space="preserve"> The Board’s functions </w:t>
            </w:r>
            <w:r w:rsidRPr="00834BF0">
              <w:rPr>
                <w:rFonts w:cs="Times New Roman"/>
                <w:sz w:val="19"/>
                <w:szCs w:val="19"/>
              </w:rPr>
              <w:lastRenderedPageBreak/>
              <w:t>include advising the Minister on the disability complaints system and the operations of the Disability Services Commissioner, and providing advice and guidance to, and promoting the operations of, the Commissioner.</w:t>
            </w:r>
            <w:r w:rsidRPr="00834BF0">
              <w:rPr>
                <w:rFonts w:cs="Times New Roman"/>
                <w:sz w:val="19"/>
                <w:szCs w:val="19"/>
                <w:vertAlign w:val="superscript"/>
              </w:rPr>
              <w:footnoteReference w:id="133"/>
            </w:r>
          </w:p>
        </w:tc>
        <w:tc>
          <w:tcPr>
            <w:tcW w:w="0" w:type="auto"/>
          </w:tcPr>
          <w:p w14:paraId="0499D08D" w14:textId="77777777" w:rsidR="00030303" w:rsidRPr="00834BF0" w:rsidRDefault="00030303" w:rsidP="00030303">
            <w:pPr>
              <w:rPr>
                <w:rFonts w:cs="Times New Roman"/>
                <w:sz w:val="19"/>
                <w:szCs w:val="19"/>
              </w:rPr>
            </w:pPr>
          </w:p>
        </w:tc>
      </w:tr>
      <w:tr w:rsidR="00030303" w:rsidRPr="00834BF0" w14:paraId="3063A182" w14:textId="77777777" w:rsidTr="00030303">
        <w:tc>
          <w:tcPr>
            <w:tcW w:w="0" w:type="auto"/>
          </w:tcPr>
          <w:p w14:paraId="59771F17" w14:textId="77777777" w:rsidR="00030303" w:rsidRPr="00834BF0" w:rsidRDefault="00030303" w:rsidP="00030303">
            <w:pPr>
              <w:rPr>
                <w:rFonts w:cs="Times New Roman"/>
                <w:b/>
                <w:sz w:val="19"/>
                <w:szCs w:val="19"/>
              </w:rPr>
            </w:pPr>
            <w:r w:rsidRPr="00834BF0">
              <w:rPr>
                <w:rFonts w:cs="Times New Roman"/>
                <w:b/>
                <w:sz w:val="19"/>
                <w:szCs w:val="19"/>
              </w:rPr>
              <w:lastRenderedPageBreak/>
              <w:t xml:space="preserve">Bodies responsible for protecting people with disability </w:t>
            </w:r>
          </w:p>
        </w:tc>
        <w:tc>
          <w:tcPr>
            <w:tcW w:w="0" w:type="auto"/>
          </w:tcPr>
          <w:p w14:paraId="49F0AAC5" w14:textId="77777777" w:rsidR="00030303" w:rsidRPr="00834BF0" w:rsidRDefault="00030303" w:rsidP="00030303">
            <w:pPr>
              <w:rPr>
                <w:rFonts w:cs="Times New Roman"/>
                <w:sz w:val="19"/>
                <w:szCs w:val="19"/>
              </w:rPr>
            </w:pPr>
            <w:r w:rsidRPr="00834BF0">
              <w:rPr>
                <w:rFonts w:cs="Times New Roman"/>
                <w:sz w:val="19"/>
                <w:szCs w:val="19"/>
              </w:rPr>
              <w:t xml:space="preserve">The </w:t>
            </w:r>
            <w:r w:rsidRPr="00834BF0">
              <w:rPr>
                <w:rFonts w:cs="Times New Roman"/>
                <w:i/>
                <w:sz w:val="19"/>
                <w:szCs w:val="19"/>
              </w:rPr>
              <w:t>Human Rights Commission Act 2005</w:t>
            </w:r>
            <w:r w:rsidRPr="00834BF0">
              <w:rPr>
                <w:rFonts w:cs="Times New Roman"/>
                <w:sz w:val="19"/>
                <w:szCs w:val="19"/>
              </w:rPr>
              <w:t xml:space="preserve"> (ACT) establishes the ACT Human Rights Commission, </w:t>
            </w:r>
            <w:r w:rsidRPr="00834BF0">
              <w:rPr>
                <w:rFonts w:cs="Times New Roman"/>
                <w:sz w:val="19"/>
                <w:szCs w:val="19"/>
              </w:rPr>
              <w:lastRenderedPageBreak/>
              <w:t>which is an independent body that performs functions relevant to the quality of disability services and the protection of people with disability from abuse and exploitation.</w:t>
            </w:r>
            <w:r w:rsidRPr="00834BF0">
              <w:rPr>
                <w:rFonts w:cs="Times New Roman"/>
                <w:sz w:val="19"/>
                <w:szCs w:val="19"/>
                <w:vertAlign w:val="superscript"/>
              </w:rPr>
              <w:footnoteReference w:id="134"/>
            </w:r>
            <w:r w:rsidRPr="00834BF0">
              <w:rPr>
                <w:rFonts w:cs="Times New Roman"/>
                <w:sz w:val="19"/>
                <w:szCs w:val="19"/>
              </w:rPr>
              <w:t xml:space="preserve"> The commission has a number of members, including the Disability and Community Services Commissioner.</w:t>
            </w:r>
            <w:r w:rsidRPr="00834BF0">
              <w:rPr>
                <w:rFonts w:cs="Times New Roman"/>
                <w:sz w:val="19"/>
                <w:szCs w:val="19"/>
                <w:vertAlign w:val="superscript"/>
              </w:rPr>
              <w:footnoteReference w:id="135"/>
            </w:r>
          </w:p>
          <w:p w14:paraId="30D4133F" w14:textId="77777777" w:rsidR="00030303" w:rsidRPr="00834BF0" w:rsidRDefault="00030303" w:rsidP="00030303">
            <w:pPr>
              <w:rPr>
                <w:rFonts w:cs="Times New Roman"/>
                <w:sz w:val="19"/>
                <w:szCs w:val="19"/>
              </w:rPr>
            </w:pPr>
            <w:r w:rsidRPr="00834BF0">
              <w:rPr>
                <w:rFonts w:cs="Times New Roman"/>
                <w:sz w:val="19"/>
                <w:szCs w:val="19"/>
              </w:rPr>
              <w:lastRenderedPageBreak/>
              <w:t>The Disability and Community Services Commissioner exercises functions for the commission in relation to disability services.</w:t>
            </w:r>
            <w:r w:rsidRPr="00834BF0">
              <w:rPr>
                <w:rFonts w:cs="Times New Roman"/>
                <w:sz w:val="19"/>
                <w:szCs w:val="19"/>
                <w:vertAlign w:val="superscript"/>
              </w:rPr>
              <w:footnoteReference w:id="136"/>
            </w:r>
            <w:r w:rsidRPr="00834BF0">
              <w:rPr>
                <w:rFonts w:cs="Times New Roman"/>
                <w:sz w:val="19"/>
                <w:szCs w:val="19"/>
              </w:rPr>
              <w:t xml:space="preserve"> A ‘disability service’ is defined as a service provided in the ACT specifically for people with a disability or their </w:t>
            </w:r>
            <w:proofErr w:type="spellStart"/>
            <w:r w:rsidRPr="00834BF0">
              <w:rPr>
                <w:rFonts w:cs="Times New Roman"/>
                <w:sz w:val="19"/>
                <w:szCs w:val="19"/>
              </w:rPr>
              <w:t>carers</w:t>
            </w:r>
            <w:proofErr w:type="spellEnd"/>
            <w:r w:rsidRPr="00834BF0">
              <w:rPr>
                <w:rFonts w:cs="Times New Roman"/>
                <w:sz w:val="19"/>
                <w:szCs w:val="19"/>
              </w:rPr>
              <w:t>, and extends to services provided under the NDIS.</w:t>
            </w:r>
            <w:r w:rsidRPr="00834BF0">
              <w:rPr>
                <w:rFonts w:cs="Times New Roman"/>
                <w:sz w:val="19"/>
                <w:szCs w:val="19"/>
                <w:vertAlign w:val="superscript"/>
              </w:rPr>
              <w:footnoteReference w:id="137"/>
            </w:r>
            <w:r w:rsidRPr="00834BF0">
              <w:rPr>
                <w:rFonts w:cs="Times New Roman"/>
                <w:sz w:val="19"/>
                <w:szCs w:val="19"/>
              </w:rPr>
              <w:t xml:space="preserve"> The </w:t>
            </w:r>
            <w:r w:rsidRPr="00834BF0">
              <w:rPr>
                <w:rFonts w:cs="Times New Roman"/>
                <w:sz w:val="19"/>
                <w:szCs w:val="19"/>
              </w:rPr>
              <w:lastRenderedPageBreak/>
              <w:t>commissioner’s functions include:</w:t>
            </w:r>
          </w:p>
          <w:p w14:paraId="52F31CE5" w14:textId="77777777" w:rsidR="00030303" w:rsidRPr="00834BF0" w:rsidRDefault="00030303" w:rsidP="00030303">
            <w:pPr>
              <w:numPr>
                <w:ilvl w:val="0"/>
                <w:numId w:val="20"/>
              </w:numPr>
              <w:tabs>
                <w:tab w:val="num" w:pos="369"/>
              </w:tabs>
              <w:spacing w:after="0" w:line="240" w:lineRule="auto"/>
              <w:ind w:left="369" w:hanging="284"/>
              <w:contextualSpacing/>
              <w:rPr>
                <w:rFonts w:cs="Times New Roman"/>
                <w:sz w:val="19"/>
                <w:szCs w:val="19"/>
              </w:rPr>
            </w:pPr>
            <w:r w:rsidRPr="00834BF0">
              <w:rPr>
                <w:rFonts w:cs="Times New Roman"/>
                <w:sz w:val="19"/>
                <w:szCs w:val="19"/>
              </w:rPr>
              <w:t>dealing with complaints relating to disability services;</w:t>
            </w:r>
          </w:p>
          <w:p w14:paraId="53A86232" w14:textId="77777777" w:rsidR="00030303" w:rsidRPr="00834BF0" w:rsidRDefault="00030303" w:rsidP="00030303">
            <w:pPr>
              <w:numPr>
                <w:ilvl w:val="0"/>
                <w:numId w:val="20"/>
              </w:numPr>
              <w:tabs>
                <w:tab w:val="num" w:pos="369"/>
              </w:tabs>
              <w:spacing w:after="0" w:line="240" w:lineRule="auto"/>
              <w:ind w:left="369" w:hanging="284"/>
              <w:contextualSpacing/>
              <w:rPr>
                <w:rFonts w:cs="Times New Roman"/>
                <w:sz w:val="19"/>
                <w:szCs w:val="19"/>
              </w:rPr>
            </w:pPr>
            <w:r w:rsidRPr="00834BF0">
              <w:rPr>
                <w:rFonts w:cs="Times New Roman"/>
                <w:sz w:val="19"/>
                <w:szCs w:val="19"/>
              </w:rPr>
              <w:t>assisting service-users and providers to improve the provision of disability services;</w:t>
            </w:r>
          </w:p>
          <w:p w14:paraId="7DCBEC4E" w14:textId="77777777" w:rsidR="00030303" w:rsidRPr="00834BF0" w:rsidRDefault="00030303" w:rsidP="00030303">
            <w:pPr>
              <w:numPr>
                <w:ilvl w:val="0"/>
                <w:numId w:val="20"/>
              </w:numPr>
              <w:tabs>
                <w:tab w:val="num" w:pos="369"/>
              </w:tabs>
              <w:spacing w:after="0" w:line="240" w:lineRule="auto"/>
              <w:ind w:left="369" w:hanging="284"/>
              <w:contextualSpacing/>
              <w:rPr>
                <w:rFonts w:cs="Times New Roman"/>
                <w:sz w:val="19"/>
                <w:szCs w:val="19"/>
              </w:rPr>
            </w:pPr>
            <w:r w:rsidRPr="00834BF0">
              <w:rPr>
                <w:rFonts w:cs="Times New Roman"/>
                <w:sz w:val="19"/>
                <w:szCs w:val="19"/>
              </w:rPr>
              <w:t xml:space="preserve">encouraging the development and improvement of procedures for dealing with </w:t>
            </w:r>
            <w:r w:rsidRPr="00834BF0">
              <w:rPr>
                <w:rFonts w:cs="Times New Roman"/>
                <w:sz w:val="19"/>
                <w:szCs w:val="19"/>
              </w:rPr>
              <w:lastRenderedPageBreak/>
              <w:t>complaints; and</w:t>
            </w:r>
          </w:p>
          <w:p w14:paraId="13356BDE" w14:textId="77777777" w:rsidR="00030303" w:rsidRPr="00834BF0" w:rsidRDefault="00030303" w:rsidP="00030303">
            <w:pPr>
              <w:numPr>
                <w:ilvl w:val="0"/>
                <w:numId w:val="20"/>
              </w:numPr>
              <w:tabs>
                <w:tab w:val="num" w:pos="369"/>
              </w:tabs>
              <w:spacing w:after="0" w:line="240" w:lineRule="auto"/>
              <w:ind w:left="369" w:hanging="284"/>
              <w:contextualSpacing/>
              <w:rPr>
                <w:rFonts w:cs="Times New Roman"/>
                <w:sz w:val="19"/>
                <w:szCs w:val="19"/>
              </w:rPr>
            </w:pPr>
            <w:r w:rsidRPr="00834BF0">
              <w:rPr>
                <w:rFonts w:cs="Times New Roman"/>
                <w:sz w:val="19"/>
                <w:szCs w:val="19"/>
              </w:rPr>
              <w:t>identifying, inquiring into and reviewing issues relating to matters that may be complained about under the Act.</w:t>
            </w:r>
            <w:r w:rsidRPr="00834BF0">
              <w:rPr>
                <w:rFonts w:cs="Times New Roman"/>
                <w:sz w:val="19"/>
                <w:szCs w:val="19"/>
                <w:vertAlign w:val="superscript"/>
              </w:rPr>
              <w:footnoteReference w:id="138"/>
            </w:r>
            <w:r w:rsidRPr="00834BF0">
              <w:rPr>
                <w:rFonts w:cs="Times New Roman"/>
                <w:sz w:val="19"/>
                <w:szCs w:val="19"/>
              </w:rPr>
              <w:t xml:space="preserve"> </w:t>
            </w:r>
          </w:p>
          <w:p w14:paraId="0377DD1F" w14:textId="77777777" w:rsidR="00030303" w:rsidRPr="00834BF0" w:rsidRDefault="00030303" w:rsidP="00030303">
            <w:pPr>
              <w:rPr>
                <w:rFonts w:cs="Times New Roman"/>
                <w:sz w:val="19"/>
                <w:szCs w:val="19"/>
              </w:rPr>
            </w:pPr>
          </w:p>
          <w:p w14:paraId="286AADF4" w14:textId="77777777" w:rsidR="00030303" w:rsidRPr="00834BF0" w:rsidRDefault="00030303" w:rsidP="00030303">
            <w:pPr>
              <w:rPr>
                <w:rFonts w:cs="Times New Roman"/>
                <w:sz w:val="19"/>
                <w:szCs w:val="19"/>
              </w:rPr>
            </w:pPr>
          </w:p>
        </w:tc>
        <w:tc>
          <w:tcPr>
            <w:tcW w:w="0" w:type="auto"/>
          </w:tcPr>
          <w:p w14:paraId="1FA02C41" w14:textId="77777777" w:rsidR="00030303" w:rsidRPr="00834BF0" w:rsidRDefault="00030303" w:rsidP="00030303">
            <w:pPr>
              <w:rPr>
                <w:rFonts w:cs="Times New Roman"/>
                <w:sz w:val="19"/>
                <w:szCs w:val="19"/>
              </w:rPr>
            </w:pPr>
            <w:r w:rsidRPr="00834BF0">
              <w:rPr>
                <w:rFonts w:cs="Times New Roman"/>
                <w:sz w:val="19"/>
                <w:szCs w:val="19"/>
              </w:rPr>
              <w:lastRenderedPageBreak/>
              <w:t xml:space="preserve">The </w:t>
            </w:r>
            <w:r w:rsidRPr="00834BF0">
              <w:rPr>
                <w:rFonts w:cs="Times New Roman"/>
                <w:i/>
                <w:sz w:val="19"/>
                <w:szCs w:val="19"/>
              </w:rPr>
              <w:t>Ageing and Disability Commissioner Act 2019</w:t>
            </w:r>
            <w:r w:rsidRPr="00834BF0">
              <w:rPr>
                <w:rFonts w:cs="Times New Roman"/>
                <w:sz w:val="19"/>
                <w:szCs w:val="19"/>
              </w:rPr>
              <w:t xml:space="preserve"> (NSW) establishes the Ageing and Disability Commissioner. </w:t>
            </w:r>
            <w:r w:rsidRPr="00834BF0">
              <w:rPr>
                <w:rFonts w:cs="Times New Roman"/>
                <w:sz w:val="19"/>
                <w:szCs w:val="19"/>
              </w:rPr>
              <w:lastRenderedPageBreak/>
              <w:t>This is an independent, full-time statutory office, with various protective responsibilities relating to adults with disability.</w:t>
            </w:r>
            <w:r w:rsidRPr="00834BF0">
              <w:rPr>
                <w:sz w:val="19"/>
                <w:szCs w:val="19"/>
                <w:vertAlign w:val="superscript"/>
              </w:rPr>
              <w:footnoteReference w:id="139"/>
            </w:r>
            <w:r w:rsidRPr="00834BF0">
              <w:rPr>
                <w:rFonts w:cs="Times New Roman"/>
                <w:sz w:val="19"/>
                <w:szCs w:val="19"/>
              </w:rPr>
              <w:t xml:space="preserve"> </w:t>
            </w:r>
          </w:p>
          <w:p w14:paraId="5ECE7F72" w14:textId="77777777" w:rsidR="00030303" w:rsidRPr="00834BF0" w:rsidRDefault="00030303" w:rsidP="00030303">
            <w:pPr>
              <w:rPr>
                <w:rFonts w:eastAsia="Times New Roman" w:cs="Times New Roman"/>
                <w:sz w:val="19"/>
                <w:szCs w:val="19"/>
                <w:lang w:eastAsia="en-AU"/>
              </w:rPr>
            </w:pPr>
            <w:r w:rsidRPr="00834BF0">
              <w:rPr>
                <w:rFonts w:eastAsia="Times New Roman" w:cs="Times New Roman"/>
                <w:sz w:val="19"/>
                <w:szCs w:val="19"/>
                <w:lang w:eastAsia="en-AU"/>
              </w:rPr>
              <w:t xml:space="preserve">The Commissioner’s functions </w:t>
            </w:r>
            <w:r w:rsidRPr="00834BF0">
              <w:rPr>
                <w:rFonts w:cs="Times New Roman"/>
                <w:sz w:val="19"/>
                <w:szCs w:val="19"/>
              </w:rPr>
              <w:t>include</w:t>
            </w:r>
            <w:r w:rsidRPr="00834BF0">
              <w:rPr>
                <w:rFonts w:eastAsia="Times New Roman" w:cs="Times New Roman"/>
                <w:sz w:val="19"/>
                <w:szCs w:val="19"/>
                <w:lang w:eastAsia="en-AU"/>
              </w:rPr>
              <w:t xml:space="preserve">: </w:t>
            </w:r>
          </w:p>
          <w:p w14:paraId="32FC1D58" w14:textId="77777777" w:rsidR="00030303" w:rsidRPr="00834BF0" w:rsidRDefault="00030303" w:rsidP="00030303">
            <w:pPr>
              <w:rPr>
                <w:rFonts w:cs="Times New Roman"/>
                <w:sz w:val="19"/>
                <w:szCs w:val="19"/>
              </w:rPr>
            </w:pPr>
            <w:r w:rsidRPr="00834BF0">
              <w:rPr>
                <w:rFonts w:cs="Times New Roman"/>
                <w:sz w:val="19"/>
                <w:szCs w:val="19"/>
              </w:rPr>
              <w:t xml:space="preserve">dealing with allegations of abuse, neglect and exploitation of adults with disability, and taking follow-up </w:t>
            </w:r>
            <w:r w:rsidRPr="00834BF0">
              <w:rPr>
                <w:rFonts w:cs="Times New Roman"/>
                <w:sz w:val="19"/>
                <w:szCs w:val="19"/>
              </w:rPr>
              <w:lastRenderedPageBreak/>
              <w:t xml:space="preserve">action to protect them, and </w:t>
            </w:r>
          </w:p>
          <w:p w14:paraId="0CFE8626" w14:textId="77777777" w:rsidR="00030303" w:rsidRPr="00834BF0" w:rsidRDefault="00030303" w:rsidP="00030303">
            <w:pPr>
              <w:rPr>
                <w:rFonts w:eastAsia="Times New Roman" w:cs="Times New Roman"/>
                <w:sz w:val="19"/>
                <w:szCs w:val="19"/>
                <w:lang w:val="en-GB" w:eastAsia="en-AU"/>
              </w:rPr>
            </w:pPr>
            <w:r w:rsidRPr="00834BF0">
              <w:rPr>
                <w:rFonts w:cs="Times New Roman"/>
                <w:sz w:val="19"/>
                <w:szCs w:val="19"/>
              </w:rPr>
              <w:t>inquiring into and reporting on systemic issues relating</w:t>
            </w:r>
            <w:r w:rsidRPr="00834BF0">
              <w:rPr>
                <w:rFonts w:eastAsia="Times New Roman" w:cs="Times New Roman"/>
                <w:sz w:val="19"/>
                <w:szCs w:val="19"/>
                <w:lang w:val="en-GB" w:eastAsia="en-AU"/>
              </w:rPr>
              <w:t xml:space="preserve"> to the protection of the rights of adults with disability, or their neglect or exploitation.</w:t>
            </w:r>
            <w:r w:rsidRPr="00834BF0">
              <w:rPr>
                <w:rFonts w:eastAsia="Times New Roman" w:cs="Times New Roman"/>
                <w:sz w:val="19"/>
                <w:szCs w:val="19"/>
                <w:vertAlign w:val="superscript"/>
                <w:lang w:val="en-GB" w:eastAsia="en-AU"/>
              </w:rPr>
              <w:footnoteReference w:id="140"/>
            </w:r>
            <w:r w:rsidRPr="00834BF0">
              <w:rPr>
                <w:rFonts w:eastAsia="Times New Roman" w:cs="Times New Roman"/>
                <w:sz w:val="19"/>
                <w:szCs w:val="19"/>
                <w:lang w:val="en-GB" w:eastAsia="en-AU"/>
              </w:rPr>
              <w:t xml:space="preserve"> </w:t>
            </w:r>
          </w:p>
          <w:p w14:paraId="1B6D16BB" w14:textId="77777777" w:rsidR="00030303" w:rsidRPr="00834BF0" w:rsidRDefault="00030303" w:rsidP="00030303">
            <w:pPr>
              <w:rPr>
                <w:rFonts w:cs="Times New Roman"/>
                <w:sz w:val="19"/>
                <w:szCs w:val="19"/>
                <w:lang w:val="en-GB" w:eastAsia="en-GB"/>
              </w:rPr>
            </w:pPr>
            <w:r w:rsidRPr="00834BF0">
              <w:rPr>
                <w:rFonts w:cs="Times New Roman"/>
                <w:sz w:val="19"/>
                <w:szCs w:val="19"/>
                <w:lang w:val="en-GB" w:eastAsia="en-GB"/>
              </w:rPr>
              <w:t>The Act provides for the making of reports to the Commissioner where:</w:t>
            </w:r>
          </w:p>
          <w:p w14:paraId="430DBCE1" w14:textId="77777777" w:rsidR="00030303" w:rsidRPr="00834BF0" w:rsidRDefault="00030303" w:rsidP="00030303">
            <w:pPr>
              <w:numPr>
                <w:ilvl w:val="0"/>
                <w:numId w:val="20"/>
              </w:numPr>
              <w:tabs>
                <w:tab w:val="num" w:pos="369"/>
              </w:tabs>
              <w:spacing w:after="0" w:line="240" w:lineRule="auto"/>
              <w:ind w:left="369" w:hanging="284"/>
              <w:contextualSpacing/>
              <w:rPr>
                <w:rFonts w:cs="Times New Roman"/>
                <w:sz w:val="19"/>
                <w:szCs w:val="19"/>
                <w:lang w:val="en-GB" w:eastAsia="en-GB"/>
              </w:rPr>
            </w:pPr>
            <w:r w:rsidRPr="00834BF0">
              <w:rPr>
                <w:rFonts w:cs="Times New Roman"/>
                <w:sz w:val="19"/>
                <w:szCs w:val="19"/>
                <w:lang w:val="en-GB" w:eastAsia="en-GB"/>
              </w:rPr>
              <w:t xml:space="preserve">a person has reasonable grounds to believe that an adult with </w:t>
            </w:r>
            <w:r w:rsidRPr="00834BF0">
              <w:rPr>
                <w:rFonts w:cs="Times New Roman"/>
                <w:sz w:val="19"/>
                <w:szCs w:val="19"/>
                <w:lang w:val="en-GB" w:eastAsia="en-GB"/>
              </w:rPr>
              <w:lastRenderedPageBreak/>
              <w:t>disability is subject to, or at risk of, abuse, neglect or exploitation; or</w:t>
            </w:r>
          </w:p>
          <w:p w14:paraId="0113DF61" w14:textId="77777777" w:rsidR="00030303" w:rsidRPr="00834BF0" w:rsidRDefault="00030303" w:rsidP="00030303">
            <w:pPr>
              <w:numPr>
                <w:ilvl w:val="0"/>
                <w:numId w:val="20"/>
              </w:numPr>
              <w:tabs>
                <w:tab w:val="num" w:pos="369"/>
              </w:tabs>
              <w:spacing w:after="0" w:line="240" w:lineRule="auto"/>
              <w:ind w:left="369" w:hanging="284"/>
              <w:contextualSpacing/>
              <w:rPr>
                <w:rFonts w:cs="Times New Roman"/>
                <w:sz w:val="19"/>
                <w:szCs w:val="19"/>
                <w:lang w:val="en-GB" w:eastAsia="en-GB"/>
              </w:rPr>
            </w:pPr>
            <w:r w:rsidRPr="00834BF0">
              <w:rPr>
                <w:rFonts w:cs="Times New Roman"/>
                <w:sz w:val="19"/>
                <w:szCs w:val="19"/>
                <w:lang w:val="en-GB" w:eastAsia="en-GB"/>
              </w:rPr>
              <w:t xml:space="preserve">circumstances exist which a person has </w:t>
            </w:r>
            <w:r w:rsidRPr="00834BF0">
              <w:rPr>
                <w:rFonts w:cs="Times New Roman"/>
                <w:sz w:val="19"/>
                <w:szCs w:val="19"/>
              </w:rPr>
              <w:t>reasonable</w:t>
            </w:r>
            <w:r w:rsidRPr="00834BF0">
              <w:rPr>
                <w:rFonts w:cs="Times New Roman"/>
                <w:sz w:val="19"/>
                <w:szCs w:val="19"/>
                <w:lang w:val="en-GB" w:eastAsia="en-GB"/>
              </w:rPr>
              <w:t xml:space="preserve"> grounds to believe will result in the abuse, neglect or exploitation of an adult with disability.</w:t>
            </w:r>
            <w:r w:rsidRPr="00834BF0">
              <w:rPr>
                <w:sz w:val="19"/>
                <w:szCs w:val="19"/>
                <w:vertAlign w:val="superscript"/>
                <w:lang w:val="en-GB" w:eastAsia="en-GB"/>
              </w:rPr>
              <w:footnoteReference w:id="141"/>
            </w:r>
          </w:p>
          <w:p w14:paraId="726D4555" w14:textId="77777777" w:rsidR="00030303" w:rsidRPr="00834BF0" w:rsidRDefault="00030303" w:rsidP="00030303">
            <w:pPr>
              <w:rPr>
                <w:rFonts w:cs="Times New Roman"/>
                <w:sz w:val="19"/>
                <w:szCs w:val="19"/>
                <w:lang w:val="en-GB" w:eastAsia="en-GB"/>
              </w:rPr>
            </w:pPr>
            <w:r w:rsidRPr="00834BF0">
              <w:rPr>
                <w:rFonts w:cs="Times New Roman"/>
                <w:sz w:val="19"/>
                <w:szCs w:val="19"/>
                <w:lang w:val="en-GB" w:eastAsia="en-GB"/>
              </w:rPr>
              <w:t xml:space="preserve">The Commissioner may investigate or refer the </w:t>
            </w:r>
            <w:r w:rsidRPr="00834BF0">
              <w:rPr>
                <w:rFonts w:cs="Times New Roman"/>
                <w:sz w:val="19"/>
                <w:szCs w:val="19"/>
                <w:lang w:val="en-GB" w:eastAsia="en-GB"/>
              </w:rPr>
              <w:lastRenderedPageBreak/>
              <w:t>matter,</w:t>
            </w:r>
            <w:r w:rsidRPr="00834BF0">
              <w:rPr>
                <w:sz w:val="19"/>
                <w:szCs w:val="19"/>
                <w:vertAlign w:val="superscript"/>
                <w:lang w:val="en-GB" w:eastAsia="en-GB"/>
              </w:rPr>
              <w:footnoteReference w:id="142"/>
            </w:r>
            <w:r w:rsidRPr="00834BF0">
              <w:rPr>
                <w:rFonts w:cs="Times New Roman"/>
                <w:sz w:val="19"/>
                <w:szCs w:val="19"/>
                <w:lang w:val="en-GB" w:eastAsia="en-GB"/>
              </w:rPr>
              <w:t xml:space="preserve"> and has compulsory information-gathering, search and inquiry powers in aid of those functions.</w:t>
            </w:r>
            <w:r w:rsidRPr="00834BF0">
              <w:rPr>
                <w:sz w:val="19"/>
                <w:szCs w:val="19"/>
                <w:vertAlign w:val="superscript"/>
                <w:lang w:val="en-GB" w:eastAsia="en-GB"/>
              </w:rPr>
              <w:footnoteReference w:id="143"/>
            </w:r>
            <w:r w:rsidRPr="00834BF0">
              <w:rPr>
                <w:rFonts w:cs="Times New Roman"/>
                <w:sz w:val="19"/>
                <w:szCs w:val="19"/>
                <w:lang w:val="en-GB" w:eastAsia="en-GB"/>
              </w:rPr>
              <w:t xml:space="preserve"> The Commissioner also has certain reporting obligations – </w:t>
            </w:r>
            <w:proofErr w:type="spellStart"/>
            <w:r w:rsidRPr="00834BF0">
              <w:rPr>
                <w:rFonts w:cs="Times New Roman"/>
                <w:sz w:val="19"/>
                <w:szCs w:val="19"/>
                <w:lang w:val="en-GB" w:eastAsia="en-GB"/>
              </w:rPr>
              <w:t>eg</w:t>
            </w:r>
            <w:proofErr w:type="spellEnd"/>
            <w:r w:rsidRPr="00834BF0">
              <w:rPr>
                <w:rFonts w:cs="Times New Roman"/>
                <w:sz w:val="19"/>
                <w:szCs w:val="19"/>
                <w:lang w:val="en-GB" w:eastAsia="en-GB"/>
              </w:rPr>
              <w:t xml:space="preserve">, to report annually to Parliament on the Commissioner’s activities, and to report on the funding arrangements for independent </w:t>
            </w:r>
            <w:r w:rsidRPr="00834BF0">
              <w:rPr>
                <w:rFonts w:cs="Times New Roman"/>
                <w:sz w:val="19"/>
                <w:szCs w:val="19"/>
                <w:lang w:val="en-GB" w:eastAsia="en-GB"/>
              </w:rPr>
              <w:lastRenderedPageBreak/>
              <w:t>disability advocacy, information and representative organisations in the State.</w:t>
            </w:r>
            <w:r w:rsidRPr="00834BF0">
              <w:rPr>
                <w:sz w:val="19"/>
                <w:szCs w:val="19"/>
                <w:vertAlign w:val="superscript"/>
                <w:lang w:val="en-GB" w:eastAsia="en-GB"/>
              </w:rPr>
              <w:footnoteReference w:id="144"/>
            </w:r>
            <w:r w:rsidRPr="00834BF0">
              <w:rPr>
                <w:rFonts w:cs="Times New Roman"/>
                <w:sz w:val="19"/>
                <w:szCs w:val="19"/>
                <w:lang w:val="en-GB" w:eastAsia="en-GB"/>
              </w:rPr>
              <w:t xml:space="preserve"> </w:t>
            </w:r>
          </w:p>
          <w:p w14:paraId="6509B774" w14:textId="77777777" w:rsidR="00030303" w:rsidRPr="00834BF0" w:rsidRDefault="00030303" w:rsidP="00030303">
            <w:pPr>
              <w:rPr>
                <w:rFonts w:cs="Times New Roman"/>
                <w:sz w:val="19"/>
                <w:szCs w:val="19"/>
              </w:rPr>
            </w:pPr>
            <w:r w:rsidRPr="00834BF0">
              <w:rPr>
                <w:rFonts w:cs="Times New Roman"/>
                <w:sz w:val="19"/>
                <w:szCs w:val="19"/>
              </w:rPr>
              <w:t xml:space="preserve">The </w:t>
            </w:r>
            <w:r w:rsidRPr="00834BF0">
              <w:rPr>
                <w:rFonts w:cs="Times New Roman"/>
                <w:i/>
                <w:sz w:val="19"/>
                <w:szCs w:val="19"/>
              </w:rPr>
              <w:t xml:space="preserve">Community Services (Complaints, Reviews and Monitoring) Act 1993 </w:t>
            </w:r>
            <w:r w:rsidRPr="00834BF0">
              <w:rPr>
                <w:rFonts w:cs="Times New Roman"/>
                <w:sz w:val="19"/>
                <w:szCs w:val="19"/>
              </w:rPr>
              <w:t xml:space="preserve">(NSW) empowers the Ombudsman to improve the delivery of community services, including services under the </w:t>
            </w:r>
            <w:r w:rsidRPr="00834BF0">
              <w:rPr>
                <w:rFonts w:cs="Times New Roman"/>
                <w:i/>
                <w:sz w:val="19"/>
                <w:szCs w:val="19"/>
              </w:rPr>
              <w:t xml:space="preserve">Disability </w:t>
            </w:r>
            <w:r w:rsidRPr="00834BF0">
              <w:rPr>
                <w:rFonts w:cs="Times New Roman"/>
                <w:i/>
                <w:sz w:val="19"/>
                <w:szCs w:val="19"/>
              </w:rPr>
              <w:lastRenderedPageBreak/>
              <w:t>Inclusion Act 2014</w:t>
            </w:r>
            <w:r w:rsidRPr="00834BF0">
              <w:rPr>
                <w:rFonts w:cs="Times New Roman"/>
                <w:sz w:val="19"/>
                <w:szCs w:val="19"/>
              </w:rPr>
              <w:t xml:space="preserve"> (NSW).</w:t>
            </w:r>
            <w:r w:rsidRPr="00834BF0">
              <w:rPr>
                <w:rFonts w:cs="Times New Roman"/>
                <w:sz w:val="19"/>
                <w:szCs w:val="19"/>
                <w:vertAlign w:val="superscript"/>
              </w:rPr>
              <w:footnoteReference w:id="145"/>
            </w:r>
          </w:p>
          <w:p w14:paraId="40CFBFF9" w14:textId="77777777" w:rsidR="00030303" w:rsidRPr="00834BF0" w:rsidRDefault="00030303" w:rsidP="00030303">
            <w:pPr>
              <w:rPr>
                <w:rFonts w:cs="Times New Roman"/>
                <w:sz w:val="19"/>
                <w:szCs w:val="19"/>
              </w:rPr>
            </w:pPr>
            <w:r w:rsidRPr="00834BF0">
              <w:rPr>
                <w:rFonts w:cs="Times New Roman"/>
                <w:sz w:val="19"/>
                <w:szCs w:val="19"/>
              </w:rPr>
              <w:t>The Ombudsman may review the situation of a person or group ‘in care’ and report on any steps that should be taken to promote their welfare or interests.</w:t>
            </w:r>
            <w:r w:rsidRPr="00834BF0">
              <w:rPr>
                <w:rFonts w:cs="Times New Roman"/>
                <w:sz w:val="19"/>
                <w:szCs w:val="19"/>
                <w:vertAlign w:val="superscript"/>
              </w:rPr>
              <w:footnoteReference w:id="146"/>
            </w:r>
            <w:r w:rsidRPr="00834BF0">
              <w:rPr>
                <w:rFonts w:cs="Times New Roman"/>
                <w:sz w:val="19"/>
                <w:szCs w:val="19"/>
              </w:rPr>
              <w:t xml:space="preserve"> This includes a person residing in an assisted boarding house but does not extend to NDIS participants generally.</w:t>
            </w:r>
            <w:r w:rsidRPr="00834BF0">
              <w:rPr>
                <w:rFonts w:cs="Times New Roman"/>
                <w:sz w:val="19"/>
                <w:szCs w:val="19"/>
                <w:vertAlign w:val="superscript"/>
              </w:rPr>
              <w:footnoteReference w:id="147"/>
            </w:r>
            <w:r w:rsidRPr="00834BF0">
              <w:rPr>
                <w:rFonts w:cs="Times New Roman"/>
                <w:sz w:val="19"/>
                <w:szCs w:val="19"/>
              </w:rPr>
              <w:t xml:space="preserve"> </w:t>
            </w:r>
          </w:p>
          <w:p w14:paraId="7D047D55" w14:textId="77777777" w:rsidR="00030303" w:rsidRPr="00834BF0" w:rsidRDefault="00030303" w:rsidP="00030303">
            <w:pPr>
              <w:numPr>
                <w:ilvl w:val="0"/>
                <w:numId w:val="14"/>
              </w:numPr>
              <w:spacing w:after="0" w:line="240" w:lineRule="auto"/>
              <w:rPr>
                <w:rFonts w:cs="Times New Roman"/>
                <w:sz w:val="19"/>
                <w:szCs w:val="19"/>
              </w:rPr>
            </w:pPr>
            <w:r w:rsidRPr="00834BF0">
              <w:rPr>
                <w:rFonts w:cs="Times New Roman"/>
                <w:sz w:val="19"/>
                <w:szCs w:val="19"/>
              </w:rPr>
              <w:lastRenderedPageBreak/>
              <w:t xml:space="preserve">The Ombudsman can also receive complaints about the conduct of service providers. The complaints management provisions of the </w:t>
            </w:r>
            <w:r w:rsidRPr="00834BF0">
              <w:rPr>
                <w:rFonts w:cs="Times New Roman"/>
                <w:i/>
                <w:sz w:val="19"/>
                <w:szCs w:val="19"/>
              </w:rPr>
              <w:t xml:space="preserve">Ombudsman Act 1974 </w:t>
            </w:r>
            <w:r w:rsidRPr="00834BF0">
              <w:rPr>
                <w:rFonts w:cs="Times New Roman"/>
                <w:sz w:val="19"/>
                <w:szCs w:val="19"/>
              </w:rPr>
              <w:t>(NSW) apply in such cases.</w:t>
            </w:r>
            <w:r w:rsidRPr="00834BF0">
              <w:rPr>
                <w:rFonts w:cs="Times New Roman"/>
                <w:sz w:val="19"/>
                <w:szCs w:val="19"/>
                <w:vertAlign w:val="superscript"/>
              </w:rPr>
              <w:footnoteReference w:id="148"/>
            </w:r>
            <w:r w:rsidRPr="00834BF0">
              <w:rPr>
                <w:rFonts w:cs="Times New Roman"/>
                <w:sz w:val="19"/>
                <w:szCs w:val="19"/>
              </w:rPr>
              <w:t xml:space="preserve"> Broadly, Part 3 of that Act empowers the Ombudsman to conciliate or conduct investigations into complaints, hold inquiries, engage expert assistance, and exercise certain information-gathering powers. </w:t>
            </w:r>
          </w:p>
        </w:tc>
        <w:tc>
          <w:tcPr>
            <w:tcW w:w="0" w:type="auto"/>
          </w:tcPr>
          <w:p w14:paraId="304929D4" w14:textId="77777777" w:rsidR="00030303" w:rsidRPr="00834BF0" w:rsidRDefault="00030303" w:rsidP="00030303">
            <w:pPr>
              <w:rPr>
                <w:rFonts w:cs="Times New Roman"/>
                <w:i/>
                <w:sz w:val="19"/>
                <w:szCs w:val="19"/>
              </w:rPr>
            </w:pPr>
            <w:r w:rsidRPr="00834BF0">
              <w:rPr>
                <w:rFonts w:cs="Times New Roman"/>
                <w:sz w:val="19"/>
                <w:szCs w:val="19"/>
              </w:rPr>
              <w:lastRenderedPageBreak/>
              <w:t xml:space="preserve">The </w:t>
            </w:r>
            <w:bookmarkStart w:id="29" w:name="_Toc46902346"/>
            <w:bookmarkStart w:id="30" w:name="_Toc51082666"/>
            <w:bookmarkStart w:id="31" w:name="_Toc53404021"/>
            <w:bookmarkStart w:id="32" w:name="_Toc53406609"/>
            <w:bookmarkStart w:id="33" w:name="_Toc53407204"/>
            <w:r w:rsidRPr="00834BF0">
              <w:rPr>
                <w:rFonts w:cs="Times New Roman"/>
                <w:i/>
                <w:sz w:val="19"/>
                <w:szCs w:val="19"/>
              </w:rPr>
              <w:t xml:space="preserve">Health and Community Services Complaints Act 1998 </w:t>
            </w:r>
            <w:r w:rsidRPr="00834BF0">
              <w:rPr>
                <w:rFonts w:cs="Times New Roman"/>
                <w:sz w:val="19"/>
                <w:szCs w:val="19"/>
              </w:rPr>
              <w:t>(NT)</w:t>
            </w:r>
            <w:bookmarkEnd w:id="29"/>
            <w:bookmarkEnd w:id="30"/>
            <w:bookmarkEnd w:id="31"/>
            <w:bookmarkEnd w:id="32"/>
            <w:bookmarkEnd w:id="33"/>
          </w:p>
          <w:p w14:paraId="01D67EEA" w14:textId="77777777" w:rsidR="00030303" w:rsidRPr="00834BF0" w:rsidRDefault="00030303" w:rsidP="00030303">
            <w:pPr>
              <w:rPr>
                <w:rFonts w:cs="Times New Roman"/>
                <w:sz w:val="19"/>
                <w:szCs w:val="19"/>
              </w:rPr>
            </w:pPr>
            <w:r w:rsidRPr="00834BF0">
              <w:rPr>
                <w:rFonts w:cs="Times New Roman"/>
                <w:sz w:val="19"/>
                <w:szCs w:val="19"/>
              </w:rPr>
              <w:t xml:space="preserve">establishes the Health and </w:t>
            </w:r>
            <w:r w:rsidRPr="00834BF0">
              <w:rPr>
                <w:rFonts w:cs="Times New Roman"/>
                <w:sz w:val="19"/>
                <w:szCs w:val="19"/>
              </w:rPr>
              <w:lastRenderedPageBreak/>
              <w:t>Community Services Complaints Commission, headed by the Commissioner.</w:t>
            </w:r>
            <w:r w:rsidRPr="00834BF0">
              <w:rPr>
                <w:rFonts w:cs="Times New Roman"/>
                <w:sz w:val="19"/>
                <w:szCs w:val="19"/>
                <w:vertAlign w:val="superscript"/>
              </w:rPr>
              <w:footnoteReference w:id="149"/>
            </w:r>
            <w:r w:rsidRPr="00834BF0">
              <w:rPr>
                <w:rFonts w:cs="Times New Roman"/>
                <w:sz w:val="19"/>
                <w:szCs w:val="19"/>
              </w:rPr>
              <w:t xml:space="preserve"> The Commissioner’s functions include:</w:t>
            </w:r>
          </w:p>
          <w:p w14:paraId="1CCF82C5" w14:textId="77777777" w:rsidR="00030303" w:rsidRPr="00834BF0" w:rsidRDefault="00030303" w:rsidP="00030303">
            <w:pPr>
              <w:numPr>
                <w:ilvl w:val="0"/>
                <w:numId w:val="20"/>
              </w:numPr>
              <w:tabs>
                <w:tab w:val="num" w:pos="369"/>
              </w:tabs>
              <w:spacing w:after="0" w:line="240" w:lineRule="auto"/>
              <w:ind w:left="369" w:hanging="284"/>
              <w:contextualSpacing/>
              <w:rPr>
                <w:rFonts w:cs="Times New Roman"/>
                <w:sz w:val="19"/>
                <w:szCs w:val="19"/>
              </w:rPr>
            </w:pPr>
            <w:r w:rsidRPr="00834BF0">
              <w:rPr>
                <w:rFonts w:cs="Times New Roman"/>
                <w:sz w:val="19"/>
                <w:szCs w:val="19"/>
              </w:rPr>
              <w:t xml:space="preserve">inquiring into and reporting on matters relating to community services upon receiving a complaint, or a reference from the Minister or the </w:t>
            </w:r>
            <w:r w:rsidRPr="00834BF0">
              <w:rPr>
                <w:rFonts w:cs="Times New Roman"/>
                <w:sz w:val="19"/>
                <w:szCs w:val="19"/>
              </w:rPr>
              <w:lastRenderedPageBreak/>
              <w:t xml:space="preserve">Legislative Assembly (see below); </w:t>
            </w:r>
          </w:p>
          <w:p w14:paraId="5FD8760A" w14:textId="77777777" w:rsidR="00030303" w:rsidRPr="00834BF0" w:rsidRDefault="00030303" w:rsidP="00030303">
            <w:pPr>
              <w:numPr>
                <w:ilvl w:val="0"/>
                <w:numId w:val="20"/>
              </w:numPr>
              <w:tabs>
                <w:tab w:val="num" w:pos="369"/>
              </w:tabs>
              <w:spacing w:after="0" w:line="240" w:lineRule="auto"/>
              <w:ind w:left="369" w:hanging="284"/>
              <w:contextualSpacing/>
              <w:rPr>
                <w:rFonts w:cs="Times New Roman"/>
                <w:sz w:val="19"/>
                <w:szCs w:val="19"/>
              </w:rPr>
            </w:pPr>
            <w:r w:rsidRPr="00834BF0">
              <w:rPr>
                <w:rFonts w:cs="Times New Roman"/>
                <w:sz w:val="19"/>
                <w:szCs w:val="19"/>
              </w:rPr>
              <w:t xml:space="preserve">conciliating, investigating, responding to, identifying the causes of and encouraging the resolution of complaints; </w:t>
            </w:r>
          </w:p>
          <w:p w14:paraId="0E355080" w14:textId="77777777" w:rsidR="00030303" w:rsidRPr="00834BF0" w:rsidRDefault="00030303" w:rsidP="00030303">
            <w:pPr>
              <w:numPr>
                <w:ilvl w:val="0"/>
                <w:numId w:val="20"/>
              </w:numPr>
              <w:tabs>
                <w:tab w:val="num" w:pos="369"/>
              </w:tabs>
              <w:spacing w:after="0" w:line="240" w:lineRule="auto"/>
              <w:ind w:left="369" w:hanging="284"/>
              <w:contextualSpacing/>
              <w:rPr>
                <w:rFonts w:cs="Times New Roman"/>
                <w:sz w:val="19"/>
                <w:szCs w:val="19"/>
              </w:rPr>
            </w:pPr>
            <w:r w:rsidRPr="00834BF0">
              <w:rPr>
                <w:rFonts w:cs="Times New Roman"/>
                <w:sz w:val="19"/>
                <w:szCs w:val="19"/>
              </w:rPr>
              <w:t>suggesting ways of improving community services and complaints systems; and</w:t>
            </w:r>
          </w:p>
          <w:p w14:paraId="2E5E036F" w14:textId="77777777" w:rsidR="00030303" w:rsidRPr="00834BF0" w:rsidRDefault="00030303" w:rsidP="00030303">
            <w:pPr>
              <w:numPr>
                <w:ilvl w:val="0"/>
                <w:numId w:val="20"/>
              </w:numPr>
              <w:tabs>
                <w:tab w:val="num" w:pos="369"/>
              </w:tabs>
              <w:spacing w:after="0" w:line="240" w:lineRule="auto"/>
              <w:ind w:left="369" w:hanging="284"/>
              <w:contextualSpacing/>
              <w:rPr>
                <w:rFonts w:cs="Times New Roman"/>
                <w:sz w:val="19"/>
                <w:szCs w:val="19"/>
              </w:rPr>
            </w:pPr>
            <w:r w:rsidRPr="00834BF0">
              <w:rPr>
                <w:rFonts w:cs="Times New Roman"/>
                <w:sz w:val="19"/>
                <w:szCs w:val="19"/>
              </w:rPr>
              <w:t xml:space="preserve">advising and reporting to </w:t>
            </w:r>
            <w:r w:rsidRPr="00834BF0">
              <w:rPr>
                <w:rFonts w:cs="Times New Roman"/>
                <w:sz w:val="19"/>
                <w:szCs w:val="19"/>
              </w:rPr>
              <w:lastRenderedPageBreak/>
              <w:t>various entities.</w:t>
            </w:r>
            <w:r w:rsidRPr="00834BF0">
              <w:rPr>
                <w:rFonts w:cs="Times New Roman"/>
                <w:sz w:val="19"/>
                <w:szCs w:val="19"/>
                <w:vertAlign w:val="superscript"/>
              </w:rPr>
              <w:footnoteReference w:id="150"/>
            </w:r>
          </w:p>
          <w:p w14:paraId="67B6975B" w14:textId="77777777" w:rsidR="00030303" w:rsidRPr="00834BF0" w:rsidRDefault="00030303" w:rsidP="00030303">
            <w:pPr>
              <w:rPr>
                <w:rFonts w:cs="Times New Roman"/>
                <w:sz w:val="19"/>
                <w:szCs w:val="19"/>
              </w:rPr>
            </w:pPr>
            <w:r w:rsidRPr="00834BF0">
              <w:rPr>
                <w:sz w:val="19"/>
                <w:szCs w:val="19"/>
              </w:rPr>
              <w:t>The Act allows service-users, their representatives, providers and certain other persons to complain to the Commissioner about community services.</w:t>
            </w:r>
            <w:r w:rsidRPr="00834BF0">
              <w:rPr>
                <w:sz w:val="19"/>
                <w:szCs w:val="19"/>
                <w:vertAlign w:val="superscript"/>
              </w:rPr>
              <w:footnoteReference w:id="151"/>
            </w:r>
            <w:r w:rsidRPr="00834BF0">
              <w:rPr>
                <w:sz w:val="19"/>
                <w:szCs w:val="19"/>
              </w:rPr>
              <w:t xml:space="preserve"> However, w</w:t>
            </w:r>
            <w:r w:rsidRPr="00834BF0">
              <w:rPr>
                <w:rFonts w:cs="Times New Roman"/>
                <w:sz w:val="19"/>
                <w:szCs w:val="19"/>
              </w:rPr>
              <w:t xml:space="preserve">hile the definition of ‘community service’ appears capable of capturing NDIS services, the Commission has </w:t>
            </w:r>
            <w:r w:rsidRPr="00834BF0">
              <w:rPr>
                <w:rFonts w:cs="Times New Roman"/>
                <w:sz w:val="19"/>
                <w:szCs w:val="19"/>
              </w:rPr>
              <w:lastRenderedPageBreak/>
              <w:t>indicated that it will not deal with complaints about NDIS-funded services where the matter giving rise to the complaint arose after 1 July 2019, on the basis that the NDIS Quality and Safeguards Commission will manage these matters.</w:t>
            </w:r>
            <w:r w:rsidRPr="00834BF0">
              <w:rPr>
                <w:sz w:val="19"/>
                <w:szCs w:val="19"/>
                <w:vertAlign w:val="superscript"/>
              </w:rPr>
              <w:footnoteReference w:id="152"/>
            </w:r>
            <w:r w:rsidRPr="00834BF0">
              <w:rPr>
                <w:rFonts w:cs="Times New Roman"/>
                <w:sz w:val="19"/>
                <w:szCs w:val="19"/>
              </w:rPr>
              <w:t xml:space="preserve"> </w:t>
            </w:r>
          </w:p>
          <w:p w14:paraId="62D97CB0" w14:textId="77777777" w:rsidR="00030303" w:rsidRPr="00834BF0" w:rsidRDefault="00030303" w:rsidP="00030303">
            <w:pPr>
              <w:rPr>
                <w:sz w:val="19"/>
                <w:szCs w:val="19"/>
              </w:rPr>
            </w:pPr>
            <w:r w:rsidRPr="00834BF0">
              <w:rPr>
                <w:sz w:val="19"/>
                <w:szCs w:val="19"/>
              </w:rPr>
              <w:t xml:space="preserve">Complaints may be made on a range of bases – for instance, </w:t>
            </w:r>
            <w:r w:rsidRPr="00834BF0">
              <w:rPr>
                <w:sz w:val="19"/>
                <w:szCs w:val="19"/>
              </w:rPr>
              <w:lastRenderedPageBreak/>
              <w:t>that a provider acted unreasonably in providing or refusing to provide a service, in denying or restricting access to records or other information, or in not responding to a complaint.</w:t>
            </w:r>
            <w:r w:rsidRPr="00834BF0">
              <w:rPr>
                <w:sz w:val="19"/>
                <w:szCs w:val="19"/>
                <w:vertAlign w:val="superscript"/>
              </w:rPr>
              <w:footnoteReference w:id="153"/>
            </w:r>
            <w:r w:rsidRPr="00834BF0">
              <w:rPr>
                <w:sz w:val="19"/>
                <w:szCs w:val="19"/>
              </w:rPr>
              <w:t xml:space="preserve"> Upon receiving a complaint, the Commissioner must either:</w:t>
            </w:r>
            <w:r w:rsidRPr="00834BF0">
              <w:rPr>
                <w:sz w:val="19"/>
                <w:szCs w:val="19"/>
              </w:rPr>
              <w:tab/>
            </w:r>
          </w:p>
          <w:p w14:paraId="4C9144BA" w14:textId="77777777" w:rsidR="00030303" w:rsidRPr="00834BF0" w:rsidRDefault="00030303" w:rsidP="00030303">
            <w:pPr>
              <w:numPr>
                <w:ilvl w:val="0"/>
                <w:numId w:val="20"/>
              </w:numPr>
              <w:tabs>
                <w:tab w:val="num" w:pos="369"/>
              </w:tabs>
              <w:spacing w:after="0" w:line="240" w:lineRule="auto"/>
              <w:ind w:left="369" w:hanging="284"/>
              <w:contextualSpacing/>
              <w:rPr>
                <w:rFonts w:cs="Times New Roman"/>
                <w:sz w:val="19"/>
                <w:szCs w:val="19"/>
              </w:rPr>
            </w:pPr>
            <w:r w:rsidRPr="00834BF0">
              <w:rPr>
                <w:rFonts w:cs="Times New Roman"/>
                <w:sz w:val="19"/>
                <w:szCs w:val="19"/>
              </w:rPr>
              <w:t xml:space="preserve">refer it for conciliation </w:t>
            </w:r>
            <w:r w:rsidRPr="00834BF0">
              <w:rPr>
                <w:rFonts w:cs="Times New Roman"/>
                <w:sz w:val="19"/>
                <w:szCs w:val="19"/>
              </w:rPr>
              <w:lastRenderedPageBreak/>
              <w:t>(see Part 6 of the Act);</w:t>
            </w:r>
          </w:p>
          <w:p w14:paraId="7C0676C6" w14:textId="77777777" w:rsidR="00030303" w:rsidRPr="00834BF0" w:rsidRDefault="00030303" w:rsidP="00030303">
            <w:pPr>
              <w:numPr>
                <w:ilvl w:val="0"/>
                <w:numId w:val="20"/>
              </w:numPr>
              <w:tabs>
                <w:tab w:val="num" w:pos="369"/>
              </w:tabs>
              <w:spacing w:after="0" w:line="240" w:lineRule="auto"/>
              <w:ind w:left="369" w:hanging="284"/>
              <w:contextualSpacing/>
              <w:rPr>
                <w:rFonts w:cs="Times New Roman"/>
                <w:sz w:val="19"/>
                <w:szCs w:val="19"/>
              </w:rPr>
            </w:pPr>
            <w:r w:rsidRPr="00834BF0">
              <w:rPr>
                <w:rFonts w:cs="Times New Roman"/>
                <w:sz w:val="19"/>
                <w:szCs w:val="19"/>
              </w:rPr>
              <w:t>investigate the complaint;</w:t>
            </w:r>
            <w:r w:rsidRPr="00834BF0">
              <w:rPr>
                <w:rFonts w:ascii="Arial" w:hAnsi="Arial" w:cs="Arial"/>
                <w:sz w:val="19"/>
                <w:szCs w:val="19"/>
                <w:vertAlign w:val="superscript"/>
              </w:rPr>
              <w:footnoteReference w:id="154"/>
            </w:r>
          </w:p>
          <w:p w14:paraId="1F0776A7" w14:textId="77777777" w:rsidR="00030303" w:rsidRPr="00834BF0" w:rsidRDefault="00030303" w:rsidP="00030303">
            <w:pPr>
              <w:numPr>
                <w:ilvl w:val="0"/>
                <w:numId w:val="20"/>
              </w:numPr>
              <w:tabs>
                <w:tab w:val="num" w:pos="369"/>
              </w:tabs>
              <w:spacing w:after="0" w:line="240" w:lineRule="auto"/>
              <w:ind w:left="369" w:hanging="284"/>
              <w:contextualSpacing/>
              <w:rPr>
                <w:rFonts w:cs="Times New Roman"/>
                <w:sz w:val="19"/>
                <w:szCs w:val="19"/>
              </w:rPr>
            </w:pPr>
            <w:r w:rsidRPr="00834BF0">
              <w:rPr>
                <w:rFonts w:cs="Times New Roman"/>
                <w:sz w:val="19"/>
                <w:szCs w:val="19"/>
              </w:rPr>
              <w:t xml:space="preserve">deal with the complaint under Part 8 (which relates to referral arrangements between the Commissioner and certain Boards in respect of complaints against providers registered </w:t>
            </w:r>
            <w:r w:rsidRPr="00834BF0">
              <w:rPr>
                <w:rFonts w:cs="Times New Roman"/>
                <w:sz w:val="19"/>
                <w:szCs w:val="19"/>
              </w:rPr>
              <w:lastRenderedPageBreak/>
              <w:t xml:space="preserve">by those Boards);  </w:t>
            </w:r>
          </w:p>
          <w:p w14:paraId="7C5FADB8" w14:textId="77777777" w:rsidR="00030303" w:rsidRPr="00834BF0" w:rsidRDefault="00030303" w:rsidP="00030303">
            <w:pPr>
              <w:numPr>
                <w:ilvl w:val="0"/>
                <w:numId w:val="20"/>
              </w:numPr>
              <w:tabs>
                <w:tab w:val="num" w:pos="369"/>
              </w:tabs>
              <w:spacing w:after="0" w:line="240" w:lineRule="auto"/>
              <w:ind w:left="369" w:hanging="284"/>
              <w:contextualSpacing/>
              <w:rPr>
                <w:rFonts w:cs="Times New Roman"/>
                <w:sz w:val="19"/>
                <w:szCs w:val="19"/>
              </w:rPr>
            </w:pPr>
            <w:r w:rsidRPr="00834BF0">
              <w:rPr>
                <w:rFonts w:cs="Times New Roman"/>
                <w:sz w:val="19"/>
                <w:szCs w:val="19"/>
              </w:rPr>
              <w:t>refer the complaint to certain other relevant persons or bodies; or</w:t>
            </w:r>
          </w:p>
          <w:p w14:paraId="7D986FDD" w14:textId="77777777" w:rsidR="00030303" w:rsidRPr="00834BF0" w:rsidRDefault="00030303" w:rsidP="00030303">
            <w:pPr>
              <w:numPr>
                <w:ilvl w:val="0"/>
                <w:numId w:val="20"/>
              </w:numPr>
              <w:tabs>
                <w:tab w:val="num" w:pos="369"/>
              </w:tabs>
              <w:spacing w:after="0" w:line="240" w:lineRule="auto"/>
              <w:ind w:left="369" w:hanging="284"/>
              <w:contextualSpacing/>
              <w:rPr>
                <w:rFonts w:cs="Times New Roman"/>
                <w:sz w:val="19"/>
                <w:szCs w:val="19"/>
              </w:rPr>
            </w:pPr>
            <w:r w:rsidRPr="00834BF0">
              <w:rPr>
                <w:sz w:val="19"/>
                <w:szCs w:val="19"/>
              </w:rPr>
              <w:t>take no further action (</w:t>
            </w:r>
            <w:proofErr w:type="spellStart"/>
            <w:r w:rsidRPr="00834BF0">
              <w:rPr>
                <w:sz w:val="19"/>
                <w:szCs w:val="19"/>
              </w:rPr>
              <w:t>eg</w:t>
            </w:r>
            <w:proofErr w:type="spellEnd"/>
            <w:r w:rsidRPr="00834BF0">
              <w:rPr>
                <w:sz w:val="19"/>
                <w:szCs w:val="19"/>
              </w:rPr>
              <w:t>, where the complaint is frivolous or vexatious).</w:t>
            </w:r>
            <w:r w:rsidRPr="00834BF0">
              <w:rPr>
                <w:sz w:val="19"/>
                <w:szCs w:val="19"/>
                <w:vertAlign w:val="superscript"/>
              </w:rPr>
              <w:footnoteReference w:id="155"/>
            </w:r>
          </w:p>
        </w:tc>
        <w:tc>
          <w:tcPr>
            <w:tcW w:w="0" w:type="auto"/>
          </w:tcPr>
          <w:p w14:paraId="5C087396" w14:textId="77777777" w:rsidR="00030303" w:rsidRPr="00834BF0" w:rsidRDefault="00030303" w:rsidP="00030303">
            <w:pPr>
              <w:rPr>
                <w:rFonts w:cs="Times New Roman"/>
                <w:sz w:val="19"/>
                <w:szCs w:val="19"/>
              </w:rPr>
            </w:pPr>
            <w:r w:rsidRPr="00834BF0">
              <w:rPr>
                <w:rFonts w:cs="Times New Roman"/>
                <w:sz w:val="19"/>
                <w:szCs w:val="19"/>
              </w:rPr>
              <w:lastRenderedPageBreak/>
              <w:t xml:space="preserve">No further quality and safeguarding regimes outside of the disability services legislation </w:t>
            </w:r>
            <w:r w:rsidRPr="00834BF0">
              <w:rPr>
                <w:rFonts w:cs="Times New Roman"/>
                <w:sz w:val="19"/>
                <w:szCs w:val="19"/>
              </w:rPr>
              <w:lastRenderedPageBreak/>
              <w:t>discussed above.</w:t>
            </w:r>
          </w:p>
        </w:tc>
        <w:tc>
          <w:tcPr>
            <w:tcW w:w="0" w:type="auto"/>
          </w:tcPr>
          <w:p w14:paraId="4B471689" w14:textId="77777777" w:rsidR="00030303" w:rsidRPr="00834BF0" w:rsidRDefault="00030303" w:rsidP="00030303">
            <w:pPr>
              <w:rPr>
                <w:rFonts w:cs="Times New Roman"/>
                <w:sz w:val="19"/>
                <w:szCs w:val="19"/>
                <w:lang w:val="en"/>
              </w:rPr>
            </w:pPr>
            <w:r w:rsidRPr="00834BF0">
              <w:rPr>
                <w:rFonts w:cs="Times New Roman"/>
                <w:sz w:val="19"/>
                <w:szCs w:val="19"/>
              </w:rPr>
              <w:lastRenderedPageBreak/>
              <w:t xml:space="preserve">The </w:t>
            </w:r>
            <w:r w:rsidRPr="00834BF0">
              <w:rPr>
                <w:rFonts w:cs="Times New Roman"/>
                <w:i/>
                <w:sz w:val="19"/>
                <w:szCs w:val="19"/>
              </w:rPr>
              <w:t>Ageing and Adult Safeguarding Act 1995</w:t>
            </w:r>
            <w:r w:rsidRPr="00834BF0">
              <w:rPr>
                <w:rFonts w:cs="Times New Roman"/>
                <w:sz w:val="19"/>
                <w:szCs w:val="19"/>
              </w:rPr>
              <w:t xml:space="preserve"> (SA) establishes the Adult Safeguarding Unit, which </w:t>
            </w:r>
            <w:r w:rsidRPr="00834BF0">
              <w:rPr>
                <w:rFonts w:cs="Times New Roman"/>
                <w:sz w:val="19"/>
                <w:szCs w:val="19"/>
              </w:rPr>
              <w:lastRenderedPageBreak/>
              <w:t>exists to prevent the abuse of older people and other vulnerable adults. ‘Vulnerable adult’ is defined to include an adult who, by reason of disability, is vulnerable to abuse.</w:t>
            </w:r>
            <w:r w:rsidRPr="00834BF0">
              <w:rPr>
                <w:rFonts w:cs="Times New Roman"/>
                <w:sz w:val="19"/>
                <w:szCs w:val="19"/>
                <w:vertAlign w:val="superscript"/>
              </w:rPr>
              <w:footnoteReference w:id="156"/>
            </w:r>
            <w:r w:rsidRPr="00834BF0">
              <w:rPr>
                <w:rFonts w:cs="Times New Roman"/>
                <w:sz w:val="19"/>
                <w:szCs w:val="19"/>
              </w:rPr>
              <w:t xml:space="preserve"> ‘Abuse’ is broadly defined to include physical, sexual, emotional, psychological and financial abuse, exploitation </w:t>
            </w:r>
            <w:r w:rsidRPr="00834BF0">
              <w:rPr>
                <w:rFonts w:cs="Times New Roman"/>
                <w:sz w:val="19"/>
                <w:szCs w:val="19"/>
              </w:rPr>
              <w:lastRenderedPageBreak/>
              <w:t>and neglect, denial of basic rights, and other matters.</w:t>
            </w:r>
            <w:r w:rsidRPr="00834BF0">
              <w:rPr>
                <w:rFonts w:cs="Times New Roman"/>
                <w:sz w:val="19"/>
                <w:szCs w:val="19"/>
                <w:vertAlign w:val="superscript"/>
              </w:rPr>
              <w:footnoteReference w:id="157"/>
            </w:r>
            <w:r w:rsidRPr="00834BF0">
              <w:rPr>
                <w:rFonts w:cs="Times New Roman"/>
                <w:sz w:val="19"/>
                <w:szCs w:val="19"/>
              </w:rPr>
              <w:t xml:space="preserve"> </w:t>
            </w:r>
          </w:p>
          <w:p w14:paraId="013865D5" w14:textId="77777777" w:rsidR="00030303" w:rsidRPr="00834BF0" w:rsidRDefault="00030303" w:rsidP="00030303">
            <w:pPr>
              <w:rPr>
                <w:rFonts w:cs="Times New Roman"/>
                <w:sz w:val="19"/>
                <w:szCs w:val="19"/>
                <w:lang w:val="en"/>
              </w:rPr>
            </w:pPr>
            <w:r w:rsidRPr="00834BF0">
              <w:rPr>
                <w:rFonts w:cs="Times New Roman"/>
                <w:sz w:val="19"/>
                <w:szCs w:val="19"/>
                <w:lang w:val="en"/>
              </w:rPr>
              <w:t>The Act provides for the making of reports to the Adult Safeguarding Unit where a person suspects that a vulnerable adult is at risk of abuse.</w:t>
            </w:r>
            <w:r w:rsidRPr="00834BF0">
              <w:rPr>
                <w:sz w:val="19"/>
                <w:szCs w:val="19"/>
                <w:vertAlign w:val="superscript"/>
                <w:lang w:val="en"/>
              </w:rPr>
              <w:footnoteReference w:id="158"/>
            </w:r>
            <w:r w:rsidRPr="00834BF0">
              <w:rPr>
                <w:rFonts w:cs="Times New Roman"/>
                <w:sz w:val="19"/>
                <w:szCs w:val="19"/>
                <w:lang w:val="en"/>
              </w:rPr>
              <w:t xml:space="preserve"> The Unit must assess each report and take appropriate action, such as investigating </w:t>
            </w:r>
            <w:r w:rsidRPr="00834BF0">
              <w:rPr>
                <w:rFonts w:cs="Times New Roman"/>
                <w:sz w:val="19"/>
                <w:szCs w:val="19"/>
                <w:lang w:val="en"/>
              </w:rPr>
              <w:lastRenderedPageBreak/>
              <w:t>the matter or referring it to an appropriate body.</w:t>
            </w:r>
            <w:r w:rsidRPr="00834BF0">
              <w:rPr>
                <w:sz w:val="19"/>
                <w:szCs w:val="19"/>
                <w:vertAlign w:val="superscript"/>
                <w:lang w:val="en"/>
              </w:rPr>
              <w:footnoteReference w:id="159"/>
            </w:r>
            <w:r w:rsidRPr="00834BF0">
              <w:rPr>
                <w:rFonts w:cs="Times New Roman"/>
                <w:sz w:val="19"/>
                <w:szCs w:val="19"/>
                <w:lang w:val="en"/>
              </w:rPr>
              <w:t xml:space="preserve"> </w:t>
            </w:r>
            <w:proofErr w:type="spellStart"/>
            <w:r w:rsidRPr="00834BF0">
              <w:rPr>
                <w:rFonts w:cs="Times New Roman"/>
                <w:sz w:val="19"/>
                <w:szCs w:val="19"/>
                <w:lang w:val="en"/>
              </w:rPr>
              <w:t>Authorised</w:t>
            </w:r>
            <w:proofErr w:type="spellEnd"/>
            <w:r w:rsidRPr="00834BF0">
              <w:rPr>
                <w:rFonts w:cs="Times New Roman"/>
                <w:sz w:val="19"/>
                <w:szCs w:val="19"/>
                <w:lang w:val="en"/>
              </w:rPr>
              <w:t xml:space="preserve"> officers within the Unit have powers of inspection, search and seizure, in addition to compulsory information-gathering powers, when conducting investigations regarding adults at risk of serious </w:t>
            </w:r>
            <w:r w:rsidRPr="00834BF0">
              <w:rPr>
                <w:rFonts w:cs="Times New Roman"/>
                <w:sz w:val="19"/>
                <w:szCs w:val="19"/>
                <w:lang w:val="en"/>
              </w:rPr>
              <w:lastRenderedPageBreak/>
              <w:t>abuse.</w:t>
            </w:r>
            <w:r w:rsidRPr="00834BF0">
              <w:rPr>
                <w:sz w:val="19"/>
                <w:szCs w:val="19"/>
                <w:vertAlign w:val="superscript"/>
                <w:lang w:val="en"/>
              </w:rPr>
              <w:footnoteReference w:id="160"/>
            </w:r>
            <w:r w:rsidRPr="00834BF0">
              <w:rPr>
                <w:rFonts w:cs="Times New Roman"/>
                <w:sz w:val="19"/>
                <w:szCs w:val="19"/>
                <w:lang w:val="en"/>
              </w:rPr>
              <w:t xml:space="preserve"> The Director of the Office of Ageing Well, a member of the Adult Safeguarding Team, may take a range of actions in response to a report of abuse, including referring the matter to State authorities and seeking protective court orders.</w:t>
            </w:r>
            <w:r w:rsidRPr="00834BF0">
              <w:rPr>
                <w:rFonts w:ascii="Arial" w:hAnsi="Arial" w:cs="Arial"/>
                <w:sz w:val="19"/>
                <w:szCs w:val="19"/>
                <w:vertAlign w:val="superscript"/>
                <w:lang w:val="en"/>
              </w:rPr>
              <w:footnoteReference w:id="161"/>
            </w:r>
            <w:r w:rsidRPr="00834BF0">
              <w:rPr>
                <w:rFonts w:cs="Times New Roman"/>
                <w:sz w:val="19"/>
                <w:szCs w:val="19"/>
                <w:lang w:val="en"/>
              </w:rPr>
              <w:t xml:space="preserve">  </w:t>
            </w:r>
          </w:p>
          <w:p w14:paraId="6BA74A9B" w14:textId="77777777" w:rsidR="00030303" w:rsidRPr="00834BF0" w:rsidRDefault="00030303" w:rsidP="00030303">
            <w:pPr>
              <w:rPr>
                <w:rFonts w:cs="Times New Roman"/>
                <w:sz w:val="19"/>
                <w:szCs w:val="19"/>
                <w:lang w:val="en"/>
              </w:rPr>
            </w:pPr>
          </w:p>
        </w:tc>
        <w:tc>
          <w:tcPr>
            <w:tcW w:w="0" w:type="auto"/>
          </w:tcPr>
          <w:p w14:paraId="0BE61F4A" w14:textId="77777777" w:rsidR="00030303" w:rsidRPr="00834BF0" w:rsidRDefault="00030303" w:rsidP="00030303">
            <w:pPr>
              <w:rPr>
                <w:rFonts w:cs="Times New Roman"/>
                <w:sz w:val="19"/>
                <w:szCs w:val="19"/>
              </w:rPr>
            </w:pPr>
            <w:r w:rsidRPr="00834BF0">
              <w:rPr>
                <w:rFonts w:cs="Times New Roman"/>
                <w:sz w:val="19"/>
                <w:szCs w:val="19"/>
              </w:rPr>
              <w:lastRenderedPageBreak/>
              <w:t xml:space="preserve">No further quality and safeguarding regimes outside of the disability services </w:t>
            </w:r>
            <w:r w:rsidRPr="00834BF0">
              <w:rPr>
                <w:rFonts w:cs="Times New Roman"/>
                <w:sz w:val="19"/>
                <w:szCs w:val="19"/>
              </w:rPr>
              <w:lastRenderedPageBreak/>
              <w:t>legislation discussed above.</w:t>
            </w:r>
          </w:p>
        </w:tc>
        <w:tc>
          <w:tcPr>
            <w:tcW w:w="0" w:type="auto"/>
          </w:tcPr>
          <w:p w14:paraId="164B0605" w14:textId="77777777" w:rsidR="00030303" w:rsidRPr="00834BF0" w:rsidRDefault="00030303" w:rsidP="00030303">
            <w:pPr>
              <w:rPr>
                <w:rFonts w:cs="Times New Roman"/>
                <w:sz w:val="19"/>
                <w:szCs w:val="19"/>
              </w:rPr>
            </w:pPr>
            <w:r w:rsidRPr="00834BF0">
              <w:rPr>
                <w:rFonts w:cs="Times New Roman"/>
                <w:sz w:val="19"/>
                <w:szCs w:val="19"/>
              </w:rPr>
              <w:lastRenderedPageBreak/>
              <w:t xml:space="preserve">The </w:t>
            </w:r>
            <w:r w:rsidRPr="00834BF0">
              <w:rPr>
                <w:rFonts w:cs="Times New Roman"/>
                <w:i/>
                <w:sz w:val="19"/>
                <w:szCs w:val="19"/>
              </w:rPr>
              <w:t>Disability Service Safeguards Act 2018</w:t>
            </w:r>
            <w:r w:rsidRPr="00834BF0">
              <w:rPr>
                <w:rFonts w:cs="Times New Roman"/>
                <w:sz w:val="19"/>
                <w:szCs w:val="19"/>
              </w:rPr>
              <w:t xml:space="preserve"> (Vic) sets out a worker registration regime and other detailed </w:t>
            </w:r>
            <w:r w:rsidRPr="00834BF0">
              <w:rPr>
                <w:rFonts w:cs="Times New Roman"/>
                <w:sz w:val="19"/>
                <w:szCs w:val="19"/>
              </w:rPr>
              <w:lastRenderedPageBreak/>
              <w:t>safeguards that apply to workers in the disability sector more generally (</w:t>
            </w:r>
            <w:proofErr w:type="spellStart"/>
            <w:r w:rsidRPr="00834BF0">
              <w:rPr>
                <w:rFonts w:cs="Times New Roman"/>
                <w:sz w:val="19"/>
                <w:szCs w:val="19"/>
              </w:rPr>
              <w:t>ie</w:t>
            </w:r>
            <w:proofErr w:type="spellEnd"/>
            <w:r w:rsidRPr="00834BF0">
              <w:rPr>
                <w:rFonts w:cs="Times New Roman"/>
                <w:sz w:val="19"/>
                <w:szCs w:val="19"/>
              </w:rPr>
              <w:t>, not only workers engaged by registered NDIS providers). In its application to services provided under the NDIS, the Act establishes protections that operate in addition to the safeguards set out in the NDIS Act.</w:t>
            </w:r>
          </w:p>
          <w:p w14:paraId="5732A0C4" w14:textId="77777777" w:rsidR="00030303" w:rsidRPr="00834BF0" w:rsidRDefault="00030303" w:rsidP="00030303">
            <w:pPr>
              <w:numPr>
                <w:ilvl w:val="0"/>
                <w:numId w:val="14"/>
              </w:numPr>
              <w:spacing w:after="0" w:line="240" w:lineRule="auto"/>
              <w:rPr>
                <w:rFonts w:cs="Times New Roman"/>
                <w:sz w:val="19"/>
                <w:szCs w:val="19"/>
              </w:rPr>
            </w:pPr>
            <w:r w:rsidRPr="00834BF0">
              <w:rPr>
                <w:rFonts w:cs="Times New Roman"/>
                <w:sz w:val="19"/>
                <w:szCs w:val="19"/>
              </w:rPr>
              <w:t xml:space="preserve">The </w:t>
            </w:r>
            <w:r w:rsidRPr="00834BF0">
              <w:rPr>
                <w:rFonts w:cs="Times New Roman"/>
                <w:i/>
                <w:sz w:val="19"/>
                <w:szCs w:val="19"/>
              </w:rPr>
              <w:t xml:space="preserve">Disability Service </w:t>
            </w:r>
            <w:r w:rsidRPr="00834BF0">
              <w:rPr>
                <w:rFonts w:cs="Times New Roman"/>
                <w:i/>
                <w:sz w:val="19"/>
                <w:szCs w:val="19"/>
              </w:rPr>
              <w:lastRenderedPageBreak/>
              <w:t>Safeguards Act 2018</w:t>
            </w:r>
            <w:r w:rsidRPr="00834BF0">
              <w:rPr>
                <w:rFonts w:cs="Times New Roman"/>
                <w:sz w:val="19"/>
                <w:szCs w:val="19"/>
              </w:rPr>
              <w:t xml:space="preserve"> (Vic):</w:t>
            </w:r>
          </w:p>
          <w:p w14:paraId="4C4E6CD3" w14:textId="77777777" w:rsidR="00030303" w:rsidRPr="00834BF0" w:rsidRDefault="00030303" w:rsidP="00030303">
            <w:pPr>
              <w:numPr>
                <w:ilvl w:val="0"/>
                <w:numId w:val="20"/>
              </w:numPr>
              <w:tabs>
                <w:tab w:val="num" w:pos="369"/>
              </w:tabs>
              <w:spacing w:after="0" w:line="240" w:lineRule="auto"/>
              <w:ind w:left="369" w:hanging="284"/>
              <w:contextualSpacing/>
              <w:rPr>
                <w:rFonts w:cs="Times New Roman"/>
                <w:sz w:val="19"/>
                <w:szCs w:val="19"/>
              </w:rPr>
            </w:pPr>
            <w:r w:rsidRPr="00834BF0">
              <w:rPr>
                <w:rFonts w:cs="Times New Roman"/>
                <w:sz w:val="19"/>
                <w:szCs w:val="19"/>
              </w:rPr>
              <w:t>provides for the voluntary registration of certain disability workers and students;</w:t>
            </w:r>
          </w:p>
          <w:p w14:paraId="77B1AA86" w14:textId="77777777" w:rsidR="00030303" w:rsidRPr="00834BF0" w:rsidRDefault="00030303" w:rsidP="00030303">
            <w:pPr>
              <w:numPr>
                <w:ilvl w:val="0"/>
                <w:numId w:val="20"/>
              </w:numPr>
              <w:tabs>
                <w:tab w:val="num" w:pos="369"/>
              </w:tabs>
              <w:spacing w:after="0" w:line="240" w:lineRule="auto"/>
              <w:ind w:left="369" w:hanging="284"/>
              <w:contextualSpacing/>
              <w:rPr>
                <w:rFonts w:cs="Times New Roman"/>
                <w:sz w:val="19"/>
                <w:szCs w:val="19"/>
              </w:rPr>
            </w:pPr>
            <w:r w:rsidRPr="00834BF0">
              <w:rPr>
                <w:rFonts w:cs="Times New Roman"/>
                <w:sz w:val="19"/>
                <w:szCs w:val="19"/>
              </w:rPr>
              <w:t>regulates unregistered disability workers (including by requiring compliance with a code of conduct); and</w:t>
            </w:r>
          </w:p>
          <w:p w14:paraId="75E7C8A5" w14:textId="77777777" w:rsidR="00030303" w:rsidRPr="00834BF0" w:rsidRDefault="00030303" w:rsidP="00030303">
            <w:pPr>
              <w:numPr>
                <w:ilvl w:val="0"/>
                <w:numId w:val="20"/>
              </w:numPr>
              <w:tabs>
                <w:tab w:val="num" w:pos="369"/>
              </w:tabs>
              <w:spacing w:after="0" w:line="240" w:lineRule="auto"/>
              <w:ind w:left="369" w:hanging="284"/>
              <w:contextualSpacing/>
              <w:rPr>
                <w:rFonts w:cs="Times New Roman"/>
                <w:sz w:val="19"/>
                <w:szCs w:val="19"/>
              </w:rPr>
            </w:pPr>
            <w:r w:rsidRPr="00834BF0">
              <w:rPr>
                <w:rFonts w:cs="Times New Roman"/>
                <w:sz w:val="19"/>
                <w:szCs w:val="19"/>
              </w:rPr>
              <w:t>provides additional avenues for complaint about disability services.</w:t>
            </w:r>
          </w:p>
          <w:p w14:paraId="5809466B" w14:textId="77777777" w:rsidR="00030303" w:rsidRPr="00834BF0" w:rsidRDefault="00030303" w:rsidP="00030303">
            <w:pPr>
              <w:rPr>
                <w:rFonts w:cs="Times New Roman"/>
                <w:sz w:val="19"/>
                <w:szCs w:val="19"/>
              </w:rPr>
            </w:pPr>
            <w:r w:rsidRPr="00834BF0">
              <w:rPr>
                <w:rFonts w:cs="Times New Roman"/>
                <w:sz w:val="19"/>
                <w:szCs w:val="19"/>
                <w:lang w:val="en"/>
              </w:rPr>
              <w:lastRenderedPageBreak/>
              <w:t>The</w:t>
            </w:r>
            <w:r w:rsidRPr="00834BF0">
              <w:rPr>
                <w:rFonts w:cs="Times New Roman"/>
                <w:sz w:val="19"/>
                <w:szCs w:val="19"/>
              </w:rPr>
              <w:t xml:space="preserve"> Act establishes a detailed regime for the making of complaints to the Commission or Board about the professional conduct of disability workers, and, to a more limited extent, about disability students.</w:t>
            </w:r>
            <w:r w:rsidRPr="00834BF0">
              <w:rPr>
                <w:rFonts w:ascii="Arial" w:hAnsi="Arial" w:cs="Arial"/>
                <w:sz w:val="19"/>
                <w:szCs w:val="19"/>
                <w:vertAlign w:val="superscript"/>
              </w:rPr>
              <w:footnoteReference w:id="162"/>
            </w:r>
            <w:r w:rsidRPr="00834BF0">
              <w:rPr>
                <w:rFonts w:cs="Times New Roman"/>
                <w:sz w:val="19"/>
                <w:szCs w:val="19"/>
              </w:rPr>
              <w:t xml:space="preserve"> The Commission </w:t>
            </w:r>
            <w:proofErr w:type="gramStart"/>
            <w:r w:rsidRPr="00834BF0">
              <w:rPr>
                <w:rFonts w:cs="Times New Roman"/>
                <w:sz w:val="19"/>
                <w:szCs w:val="19"/>
              </w:rPr>
              <w:t>gives initial consideration to</w:t>
            </w:r>
            <w:proofErr w:type="gramEnd"/>
            <w:r w:rsidRPr="00834BF0">
              <w:rPr>
                <w:rFonts w:cs="Times New Roman"/>
                <w:sz w:val="19"/>
                <w:szCs w:val="19"/>
              </w:rPr>
              <w:t xml:space="preserve"> complaints, before referring them to the Board if they concern </w:t>
            </w:r>
            <w:r w:rsidRPr="00834BF0">
              <w:rPr>
                <w:rFonts w:cs="Times New Roman"/>
                <w:sz w:val="19"/>
                <w:szCs w:val="19"/>
              </w:rPr>
              <w:lastRenderedPageBreak/>
              <w:t>registered workers or students, and dealing with them itself if they concern unregistered workers.</w:t>
            </w:r>
            <w:r w:rsidRPr="00834BF0">
              <w:rPr>
                <w:rFonts w:ascii="Arial" w:hAnsi="Arial" w:cs="Arial"/>
                <w:sz w:val="19"/>
                <w:szCs w:val="19"/>
                <w:vertAlign w:val="superscript"/>
              </w:rPr>
              <w:footnoteReference w:id="163"/>
            </w:r>
            <w:r w:rsidRPr="00834BF0">
              <w:rPr>
                <w:rFonts w:cs="Times New Roman"/>
                <w:sz w:val="19"/>
                <w:szCs w:val="19"/>
              </w:rPr>
              <w:t xml:space="preserve"> </w:t>
            </w:r>
          </w:p>
          <w:p w14:paraId="76DF6709" w14:textId="77777777" w:rsidR="00030303" w:rsidRPr="00834BF0" w:rsidRDefault="00030303" w:rsidP="00030303">
            <w:pPr>
              <w:rPr>
                <w:rFonts w:cs="Times New Roman"/>
                <w:sz w:val="19"/>
                <w:szCs w:val="19"/>
              </w:rPr>
            </w:pPr>
            <w:r w:rsidRPr="00834BF0">
              <w:rPr>
                <w:rFonts w:cs="Times New Roman"/>
                <w:sz w:val="19"/>
                <w:szCs w:val="19"/>
              </w:rPr>
              <w:t xml:space="preserve">The Board has a range of powers in relation to complaints against registered disability workers – </w:t>
            </w:r>
            <w:proofErr w:type="spellStart"/>
            <w:r w:rsidRPr="00834BF0">
              <w:rPr>
                <w:rFonts w:cs="Times New Roman"/>
                <w:sz w:val="19"/>
                <w:szCs w:val="19"/>
              </w:rPr>
              <w:t>eg</w:t>
            </w:r>
            <w:proofErr w:type="spellEnd"/>
            <w:r w:rsidRPr="00834BF0">
              <w:rPr>
                <w:rFonts w:cs="Times New Roman"/>
                <w:sz w:val="19"/>
                <w:szCs w:val="19"/>
              </w:rPr>
              <w:t xml:space="preserve">, to refer a complaint for conciliation, counsel the relevant worker, </w:t>
            </w:r>
            <w:proofErr w:type="gramStart"/>
            <w:r w:rsidRPr="00834BF0">
              <w:rPr>
                <w:rFonts w:cs="Times New Roman"/>
                <w:sz w:val="19"/>
                <w:szCs w:val="19"/>
              </w:rPr>
              <w:t>conduct an investigation</w:t>
            </w:r>
            <w:proofErr w:type="gramEnd"/>
            <w:r w:rsidRPr="00834BF0">
              <w:rPr>
                <w:rFonts w:cs="Times New Roman"/>
                <w:sz w:val="19"/>
                <w:szCs w:val="19"/>
              </w:rPr>
              <w:t xml:space="preserve">, or </w:t>
            </w:r>
            <w:r w:rsidRPr="00834BF0">
              <w:rPr>
                <w:rFonts w:cs="Times New Roman"/>
                <w:sz w:val="19"/>
                <w:szCs w:val="19"/>
              </w:rPr>
              <w:lastRenderedPageBreak/>
              <w:t>take other appropriate action.</w:t>
            </w:r>
            <w:r w:rsidRPr="00834BF0">
              <w:rPr>
                <w:rFonts w:ascii="Arial" w:hAnsi="Arial" w:cs="Arial"/>
                <w:sz w:val="19"/>
                <w:szCs w:val="19"/>
                <w:vertAlign w:val="superscript"/>
              </w:rPr>
              <w:footnoteReference w:id="164"/>
            </w:r>
            <w:r w:rsidRPr="00834BF0">
              <w:rPr>
                <w:rFonts w:cs="Times New Roman"/>
                <w:sz w:val="19"/>
                <w:szCs w:val="19"/>
              </w:rPr>
              <w:t xml:space="preserve"> It has more limited powers in respect of students.</w:t>
            </w:r>
            <w:r w:rsidRPr="00834BF0">
              <w:rPr>
                <w:rFonts w:ascii="Arial" w:hAnsi="Arial" w:cs="Arial"/>
                <w:sz w:val="19"/>
                <w:szCs w:val="19"/>
                <w:vertAlign w:val="superscript"/>
              </w:rPr>
              <w:footnoteReference w:id="165"/>
            </w:r>
            <w:r w:rsidRPr="00834BF0">
              <w:rPr>
                <w:rFonts w:cs="Times New Roman"/>
                <w:sz w:val="19"/>
                <w:szCs w:val="19"/>
              </w:rPr>
              <w:t xml:space="preserve"> The Commission also has similar powers to deal with complaints against unregistered disability workers.</w:t>
            </w:r>
            <w:r w:rsidRPr="00834BF0">
              <w:rPr>
                <w:rFonts w:ascii="Arial" w:hAnsi="Arial" w:cs="Arial"/>
                <w:sz w:val="19"/>
                <w:szCs w:val="19"/>
                <w:vertAlign w:val="superscript"/>
              </w:rPr>
              <w:footnoteReference w:id="166"/>
            </w:r>
            <w:r w:rsidRPr="00834BF0">
              <w:rPr>
                <w:rFonts w:cs="Times New Roman"/>
                <w:sz w:val="19"/>
                <w:szCs w:val="19"/>
              </w:rPr>
              <w:t xml:space="preserve">  </w:t>
            </w:r>
          </w:p>
          <w:p w14:paraId="7380C13F" w14:textId="77777777" w:rsidR="00030303" w:rsidRPr="00834BF0" w:rsidRDefault="00030303" w:rsidP="00030303">
            <w:pPr>
              <w:rPr>
                <w:rFonts w:cs="Times New Roman"/>
                <w:sz w:val="19"/>
                <w:szCs w:val="19"/>
              </w:rPr>
            </w:pPr>
            <w:r w:rsidRPr="00834BF0">
              <w:rPr>
                <w:rFonts w:cs="Times New Roman"/>
                <w:sz w:val="19"/>
                <w:szCs w:val="19"/>
              </w:rPr>
              <w:t xml:space="preserve">Where a registered NDIS provider or employee thereof is the subject of the complaint, the Board or Commission must </w:t>
            </w:r>
            <w:r w:rsidRPr="00834BF0">
              <w:rPr>
                <w:rFonts w:cs="Times New Roman"/>
                <w:sz w:val="19"/>
                <w:szCs w:val="19"/>
              </w:rPr>
              <w:lastRenderedPageBreak/>
              <w:t>refer the complaint to the NDIS Commission, but may also deal with the matter itself at the same time.</w:t>
            </w:r>
            <w:r w:rsidRPr="00834BF0">
              <w:rPr>
                <w:rFonts w:ascii="Arial" w:hAnsi="Arial" w:cs="Arial"/>
                <w:sz w:val="19"/>
                <w:szCs w:val="19"/>
                <w:vertAlign w:val="superscript"/>
              </w:rPr>
              <w:footnoteReference w:id="167"/>
            </w:r>
          </w:p>
          <w:p w14:paraId="2D828D31" w14:textId="77777777" w:rsidR="00030303" w:rsidRPr="00834BF0" w:rsidRDefault="00030303" w:rsidP="00030303">
            <w:pPr>
              <w:rPr>
                <w:rFonts w:cs="Times New Roman"/>
                <w:sz w:val="19"/>
                <w:szCs w:val="19"/>
              </w:rPr>
            </w:pPr>
          </w:p>
          <w:p w14:paraId="046F5BA8" w14:textId="77777777" w:rsidR="00030303" w:rsidRPr="00834BF0" w:rsidRDefault="00030303" w:rsidP="00030303">
            <w:pPr>
              <w:rPr>
                <w:rFonts w:cs="Times New Roman"/>
                <w:sz w:val="19"/>
                <w:szCs w:val="19"/>
              </w:rPr>
            </w:pPr>
            <w:r w:rsidRPr="00834BF0">
              <w:rPr>
                <w:rFonts w:cs="Times New Roman"/>
                <w:sz w:val="19"/>
                <w:szCs w:val="19"/>
              </w:rPr>
              <w:t xml:space="preserve">Further safeguards are set out in the </w:t>
            </w:r>
            <w:r w:rsidRPr="00834BF0">
              <w:rPr>
                <w:rFonts w:cs="Times New Roman"/>
                <w:i/>
                <w:sz w:val="19"/>
                <w:szCs w:val="19"/>
              </w:rPr>
              <w:t>Disability Act 2006</w:t>
            </w:r>
            <w:r w:rsidRPr="00834BF0">
              <w:rPr>
                <w:rFonts w:cs="Times New Roman"/>
                <w:sz w:val="19"/>
                <w:szCs w:val="19"/>
              </w:rPr>
              <w:t xml:space="preserve"> (Vic), outlined above.</w:t>
            </w:r>
          </w:p>
        </w:tc>
        <w:tc>
          <w:tcPr>
            <w:tcW w:w="0" w:type="auto"/>
          </w:tcPr>
          <w:p w14:paraId="3F1C011E" w14:textId="77777777" w:rsidR="00030303" w:rsidRPr="00834BF0" w:rsidRDefault="00030303" w:rsidP="00030303">
            <w:pPr>
              <w:rPr>
                <w:rFonts w:cs="Times New Roman"/>
                <w:sz w:val="19"/>
                <w:szCs w:val="19"/>
              </w:rPr>
            </w:pPr>
            <w:r w:rsidRPr="00834BF0">
              <w:rPr>
                <w:rFonts w:cs="Times New Roman"/>
                <w:sz w:val="19"/>
                <w:szCs w:val="19"/>
              </w:rPr>
              <w:lastRenderedPageBreak/>
              <w:t xml:space="preserve">No further quality and safeguarding regimes outside of the disability services legislation </w:t>
            </w:r>
            <w:r w:rsidRPr="00834BF0">
              <w:rPr>
                <w:rFonts w:cs="Times New Roman"/>
                <w:sz w:val="19"/>
                <w:szCs w:val="19"/>
              </w:rPr>
              <w:lastRenderedPageBreak/>
              <w:t>discussed above.</w:t>
            </w:r>
          </w:p>
        </w:tc>
      </w:tr>
      <w:tr w:rsidR="00030303" w:rsidRPr="00834BF0" w14:paraId="64D57B33" w14:textId="77777777" w:rsidTr="00030303">
        <w:tc>
          <w:tcPr>
            <w:tcW w:w="0" w:type="auto"/>
          </w:tcPr>
          <w:p w14:paraId="7937C83F" w14:textId="77777777" w:rsidR="00030303" w:rsidRPr="00834BF0" w:rsidRDefault="00030303" w:rsidP="00030303">
            <w:pPr>
              <w:rPr>
                <w:rFonts w:cs="Times New Roman"/>
                <w:b/>
                <w:sz w:val="19"/>
                <w:szCs w:val="19"/>
              </w:rPr>
            </w:pPr>
            <w:r w:rsidRPr="00834BF0">
              <w:rPr>
                <w:rFonts w:cs="Times New Roman"/>
                <w:b/>
                <w:sz w:val="19"/>
                <w:szCs w:val="19"/>
              </w:rPr>
              <w:lastRenderedPageBreak/>
              <w:t xml:space="preserve">Public advocates </w:t>
            </w:r>
            <w:r w:rsidRPr="00834BF0">
              <w:rPr>
                <w:rFonts w:cs="Times New Roman"/>
                <w:b/>
                <w:sz w:val="19"/>
                <w:szCs w:val="19"/>
              </w:rPr>
              <w:lastRenderedPageBreak/>
              <w:t>and guardians</w:t>
            </w:r>
          </w:p>
        </w:tc>
        <w:tc>
          <w:tcPr>
            <w:tcW w:w="0" w:type="auto"/>
          </w:tcPr>
          <w:p w14:paraId="6C0A18C9" w14:textId="77777777" w:rsidR="00030303" w:rsidRPr="00834BF0" w:rsidRDefault="00030303" w:rsidP="00030303">
            <w:pPr>
              <w:numPr>
                <w:ilvl w:val="0"/>
                <w:numId w:val="14"/>
              </w:numPr>
              <w:spacing w:after="0" w:line="240" w:lineRule="auto"/>
              <w:rPr>
                <w:rFonts w:cs="Times New Roman"/>
                <w:sz w:val="19"/>
                <w:szCs w:val="19"/>
              </w:rPr>
            </w:pPr>
            <w:r w:rsidRPr="00834BF0">
              <w:rPr>
                <w:rFonts w:cs="Times New Roman"/>
                <w:sz w:val="19"/>
                <w:szCs w:val="19"/>
              </w:rPr>
              <w:lastRenderedPageBreak/>
              <w:t xml:space="preserve">The </w:t>
            </w:r>
            <w:r w:rsidRPr="00834BF0">
              <w:rPr>
                <w:rFonts w:cs="Times New Roman"/>
                <w:i/>
                <w:sz w:val="19"/>
                <w:szCs w:val="19"/>
              </w:rPr>
              <w:t xml:space="preserve">Human Rights Commission Act </w:t>
            </w:r>
            <w:r w:rsidRPr="00834BF0">
              <w:rPr>
                <w:rFonts w:cs="Times New Roman"/>
                <w:i/>
                <w:sz w:val="19"/>
                <w:szCs w:val="19"/>
              </w:rPr>
              <w:lastRenderedPageBreak/>
              <w:t xml:space="preserve">2005 </w:t>
            </w:r>
            <w:r w:rsidRPr="00834BF0">
              <w:rPr>
                <w:rFonts w:cs="Times New Roman"/>
                <w:sz w:val="19"/>
                <w:szCs w:val="19"/>
              </w:rPr>
              <w:t>(ACT), as well as providing for the role of the disability and community services commissioner, establishes the public advocate.</w:t>
            </w:r>
            <w:r w:rsidRPr="00834BF0">
              <w:rPr>
                <w:rFonts w:ascii="Arial" w:hAnsi="Arial" w:cs="Arial"/>
                <w:sz w:val="19"/>
                <w:szCs w:val="19"/>
                <w:vertAlign w:val="superscript"/>
              </w:rPr>
              <w:footnoteReference w:id="168"/>
            </w:r>
            <w:r w:rsidRPr="00834BF0">
              <w:rPr>
                <w:rFonts w:cs="Times New Roman"/>
                <w:sz w:val="19"/>
                <w:szCs w:val="19"/>
              </w:rPr>
              <w:t xml:space="preserve"> The public advocate’s functions relevantly include:</w:t>
            </w:r>
          </w:p>
          <w:p w14:paraId="5A65D99E" w14:textId="77777777" w:rsidR="00030303" w:rsidRPr="00834BF0" w:rsidRDefault="00030303" w:rsidP="00030303">
            <w:pPr>
              <w:pStyle w:val="NumberLevel5"/>
              <w:rPr>
                <w:rFonts w:asciiTheme="minorHAnsi" w:hAnsiTheme="minorHAnsi" w:cstheme="minorHAnsi"/>
                <w:sz w:val="19"/>
                <w:szCs w:val="19"/>
              </w:rPr>
            </w:pPr>
            <w:r w:rsidRPr="00834BF0">
              <w:rPr>
                <w:rFonts w:asciiTheme="minorHAnsi" w:hAnsiTheme="minorHAnsi" w:cstheme="minorHAnsi"/>
                <w:sz w:val="19"/>
                <w:szCs w:val="19"/>
              </w:rPr>
              <w:t>advocating for the rights of people with disability, including by:</w:t>
            </w:r>
          </w:p>
          <w:p w14:paraId="105A7352" w14:textId="77777777" w:rsidR="00030303" w:rsidRPr="00834BF0" w:rsidRDefault="00030303" w:rsidP="00030303">
            <w:pPr>
              <w:numPr>
                <w:ilvl w:val="1"/>
                <w:numId w:val="11"/>
              </w:numPr>
              <w:spacing w:after="0" w:line="240" w:lineRule="auto"/>
              <w:contextualSpacing/>
              <w:rPr>
                <w:rFonts w:cstheme="minorHAnsi"/>
                <w:sz w:val="19"/>
                <w:szCs w:val="19"/>
              </w:rPr>
            </w:pPr>
            <w:r w:rsidRPr="00834BF0">
              <w:rPr>
                <w:rFonts w:eastAsia="Times New Roman" w:cstheme="minorHAnsi"/>
                <w:sz w:val="19"/>
                <w:szCs w:val="19"/>
              </w:rPr>
              <w:t xml:space="preserve">promoting their protection from </w:t>
            </w:r>
            <w:r w:rsidRPr="00834BF0">
              <w:rPr>
                <w:rFonts w:eastAsia="Times New Roman" w:cstheme="minorHAnsi"/>
                <w:sz w:val="19"/>
                <w:szCs w:val="19"/>
              </w:rPr>
              <w:lastRenderedPageBreak/>
              <w:t>abuse and exploitation; and</w:t>
            </w:r>
          </w:p>
          <w:p w14:paraId="7906B9FF" w14:textId="77777777" w:rsidR="00030303" w:rsidRPr="00834BF0" w:rsidRDefault="00030303" w:rsidP="00030303">
            <w:pPr>
              <w:numPr>
                <w:ilvl w:val="1"/>
                <w:numId w:val="11"/>
              </w:numPr>
              <w:spacing w:after="0" w:line="240" w:lineRule="auto"/>
              <w:contextualSpacing/>
              <w:rPr>
                <w:rFonts w:cstheme="minorHAnsi"/>
                <w:sz w:val="19"/>
                <w:szCs w:val="19"/>
              </w:rPr>
            </w:pPr>
            <w:r w:rsidRPr="00834BF0">
              <w:rPr>
                <w:rFonts w:eastAsia="Times New Roman" w:cstheme="minorHAnsi"/>
                <w:sz w:val="19"/>
                <w:szCs w:val="19"/>
              </w:rPr>
              <w:t xml:space="preserve">fostering the provision of services, facilities and programs for the benefit of people with disability; and </w:t>
            </w:r>
          </w:p>
          <w:p w14:paraId="121A6819" w14:textId="77777777" w:rsidR="00030303" w:rsidRPr="00834BF0" w:rsidRDefault="00030303" w:rsidP="00030303">
            <w:pPr>
              <w:numPr>
                <w:ilvl w:val="1"/>
                <w:numId w:val="11"/>
              </w:numPr>
              <w:spacing w:after="0" w:line="240" w:lineRule="auto"/>
              <w:contextualSpacing/>
              <w:rPr>
                <w:rFonts w:cstheme="minorHAnsi"/>
                <w:sz w:val="19"/>
                <w:szCs w:val="19"/>
              </w:rPr>
            </w:pPr>
            <w:r w:rsidRPr="00834BF0">
              <w:rPr>
                <w:rFonts w:eastAsia="Times New Roman" w:cstheme="minorHAnsi"/>
                <w:sz w:val="19"/>
                <w:szCs w:val="19"/>
              </w:rPr>
              <w:t xml:space="preserve">supporting the establishment of organisations that support people with disability; and </w:t>
            </w:r>
          </w:p>
          <w:p w14:paraId="1A182F52" w14:textId="77777777" w:rsidR="00030303" w:rsidRPr="00834BF0" w:rsidRDefault="00030303" w:rsidP="00030303">
            <w:pPr>
              <w:numPr>
                <w:ilvl w:val="1"/>
                <w:numId w:val="11"/>
              </w:numPr>
              <w:spacing w:after="0" w:line="240" w:lineRule="auto"/>
              <w:contextualSpacing/>
              <w:rPr>
                <w:rFonts w:cs="Times New Roman"/>
                <w:sz w:val="19"/>
                <w:szCs w:val="19"/>
              </w:rPr>
            </w:pPr>
            <w:r w:rsidRPr="00834BF0">
              <w:rPr>
                <w:rFonts w:eastAsia="Times New Roman" w:cstheme="minorHAnsi"/>
                <w:sz w:val="19"/>
                <w:szCs w:val="19"/>
              </w:rPr>
              <w:lastRenderedPageBreak/>
              <w:t>dealing, on behalf of people with disability, with entities providing services</w:t>
            </w:r>
            <w:r w:rsidRPr="00834BF0">
              <w:rPr>
                <w:rFonts w:cs="Times New Roman"/>
                <w:sz w:val="19"/>
                <w:szCs w:val="19"/>
              </w:rPr>
              <w:t>.</w:t>
            </w:r>
            <w:r w:rsidRPr="00834BF0">
              <w:rPr>
                <w:rFonts w:ascii="Arial" w:hAnsi="Arial"/>
                <w:sz w:val="19"/>
                <w:szCs w:val="19"/>
                <w:vertAlign w:val="superscript"/>
              </w:rPr>
              <w:footnoteReference w:id="169"/>
            </w:r>
          </w:p>
        </w:tc>
        <w:tc>
          <w:tcPr>
            <w:tcW w:w="0" w:type="auto"/>
          </w:tcPr>
          <w:p w14:paraId="2CDC2505" w14:textId="77777777" w:rsidR="00030303" w:rsidRPr="00834BF0" w:rsidRDefault="00030303" w:rsidP="00030303">
            <w:pPr>
              <w:numPr>
                <w:ilvl w:val="0"/>
                <w:numId w:val="14"/>
              </w:numPr>
              <w:spacing w:after="0" w:line="240" w:lineRule="auto"/>
              <w:rPr>
                <w:rFonts w:cs="Times New Roman"/>
                <w:sz w:val="19"/>
                <w:szCs w:val="19"/>
              </w:rPr>
            </w:pPr>
            <w:r w:rsidRPr="00834BF0">
              <w:rPr>
                <w:rFonts w:cs="Times New Roman"/>
                <w:sz w:val="19"/>
                <w:szCs w:val="19"/>
              </w:rPr>
              <w:lastRenderedPageBreak/>
              <w:t xml:space="preserve">In New South Wales, the role of the Public </w:t>
            </w:r>
            <w:r w:rsidRPr="00834BF0">
              <w:rPr>
                <w:rFonts w:cs="Times New Roman"/>
                <w:sz w:val="19"/>
                <w:szCs w:val="19"/>
              </w:rPr>
              <w:lastRenderedPageBreak/>
              <w:t>Guardian focusses largely on matters specific to guardianship or administration (</w:t>
            </w:r>
            <w:proofErr w:type="spellStart"/>
            <w:r w:rsidRPr="00834BF0">
              <w:rPr>
                <w:rFonts w:cs="Times New Roman"/>
                <w:sz w:val="19"/>
                <w:szCs w:val="19"/>
              </w:rPr>
              <w:t>eg</w:t>
            </w:r>
            <w:proofErr w:type="spellEnd"/>
            <w:r w:rsidRPr="00834BF0">
              <w:rPr>
                <w:rFonts w:cs="Times New Roman"/>
                <w:sz w:val="19"/>
                <w:szCs w:val="19"/>
              </w:rPr>
              <w:t>, acting as the guardian for a person where appointed to do so, or performing other supportive or monitoring functions in relation to guardianship).</w:t>
            </w:r>
            <w:r w:rsidRPr="00834BF0">
              <w:rPr>
                <w:rFonts w:ascii="Arial" w:hAnsi="Arial" w:cs="Arial"/>
                <w:sz w:val="19"/>
                <w:szCs w:val="19"/>
                <w:vertAlign w:val="superscript"/>
              </w:rPr>
              <w:footnoteReference w:id="170"/>
            </w:r>
          </w:p>
        </w:tc>
        <w:tc>
          <w:tcPr>
            <w:tcW w:w="0" w:type="auto"/>
          </w:tcPr>
          <w:p w14:paraId="14850E8E" w14:textId="77777777" w:rsidR="00030303" w:rsidRPr="00834BF0" w:rsidRDefault="00030303" w:rsidP="00030303">
            <w:pPr>
              <w:numPr>
                <w:ilvl w:val="0"/>
                <w:numId w:val="14"/>
              </w:numPr>
              <w:spacing w:after="0" w:line="240" w:lineRule="auto"/>
              <w:rPr>
                <w:rFonts w:cs="Times New Roman"/>
                <w:sz w:val="19"/>
                <w:szCs w:val="19"/>
              </w:rPr>
            </w:pPr>
            <w:r w:rsidRPr="00834BF0">
              <w:rPr>
                <w:rFonts w:cs="Times New Roman"/>
                <w:sz w:val="19"/>
                <w:szCs w:val="19"/>
              </w:rPr>
              <w:lastRenderedPageBreak/>
              <w:t xml:space="preserve">In the Northern Territory, the role of the </w:t>
            </w:r>
            <w:r w:rsidRPr="00834BF0">
              <w:rPr>
                <w:rFonts w:cs="Times New Roman"/>
                <w:sz w:val="19"/>
                <w:szCs w:val="19"/>
              </w:rPr>
              <w:lastRenderedPageBreak/>
              <w:t>Public Guardian focusses largely on matters specific to guardianship or administration (</w:t>
            </w:r>
            <w:proofErr w:type="spellStart"/>
            <w:r w:rsidRPr="00834BF0">
              <w:rPr>
                <w:rFonts w:cs="Times New Roman"/>
                <w:sz w:val="19"/>
                <w:szCs w:val="19"/>
              </w:rPr>
              <w:t>eg</w:t>
            </w:r>
            <w:proofErr w:type="spellEnd"/>
            <w:r w:rsidRPr="00834BF0">
              <w:rPr>
                <w:rFonts w:cs="Times New Roman"/>
                <w:sz w:val="19"/>
                <w:szCs w:val="19"/>
              </w:rPr>
              <w:t>, acting as the guardian for a person where appointed to do so, or performing other supportive or monitoring functions in relation to guardianship).</w:t>
            </w:r>
            <w:r w:rsidRPr="00834BF0">
              <w:rPr>
                <w:rFonts w:cs="Times New Roman"/>
                <w:sz w:val="19"/>
                <w:szCs w:val="19"/>
                <w:vertAlign w:val="superscript"/>
              </w:rPr>
              <w:footnoteReference w:id="171"/>
            </w:r>
            <w:r w:rsidRPr="00834BF0">
              <w:rPr>
                <w:rFonts w:cs="Times New Roman"/>
                <w:sz w:val="19"/>
                <w:szCs w:val="19"/>
              </w:rPr>
              <w:t xml:space="preserve"> However, the Public Guardian’s functions do extend to:</w:t>
            </w:r>
          </w:p>
          <w:p w14:paraId="4F8C19FA" w14:textId="77777777" w:rsidR="00030303" w:rsidRPr="00834BF0" w:rsidRDefault="00030303" w:rsidP="00030303">
            <w:pPr>
              <w:numPr>
                <w:ilvl w:val="4"/>
                <w:numId w:val="14"/>
              </w:numPr>
              <w:tabs>
                <w:tab w:val="num" w:pos="425"/>
              </w:tabs>
              <w:spacing w:after="0" w:line="240" w:lineRule="auto"/>
              <w:rPr>
                <w:rFonts w:cs="Times New Roman"/>
                <w:sz w:val="19"/>
                <w:szCs w:val="19"/>
              </w:rPr>
            </w:pPr>
            <w:r w:rsidRPr="00834BF0">
              <w:rPr>
                <w:rFonts w:cs="Times New Roman"/>
                <w:sz w:val="19"/>
                <w:szCs w:val="19"/>
              </w:rPr>
              <w:t xml:space="preserve">advocating for adults with </w:t>
            </w:r>
            <w:r w:rsidRPr="00834BF0">
              <w:rPr>
                <w:rFonts w:cs="Times New Roman"/>
                <w:sz w:val="19"/>
                <w:szCs w:val="19"/>
              </w:rPr>
              <w:lastRenderedPageBreak/>
              <w:t>impaired decision-making capacity generally; and</w:t>
            </w:r>
          </w:p>
          <w:p w14:paraId="4CCD7518" w14:textId="77777777" w:rsidR="00030303" w:rsidRPr="00834BF0" w:rsidRDefault="00030303" w:rsidP="00030303">
            <w:pPr>
              <w:numPr>
                <w:ilvl w:val="4"/>
                <w:numId w:val="14"/>
              </w:numPr>
              <w:tabs>
                <w:tab w:val="num" w:pos="425"/>
              </w:tabs>
              <w:spacing w:after="0" w:line="240" w:lineRule="auto"/>
              <w:rPr>
                <w:rFonts w:cs="Times New Roman"/>
                <w:sz w:val="19"/>
                <w:szCs w:val="19"/>
              </w:rPr>
            </w:pPr>
            <w:r w:rsidRPr="00834BF0">
              <w:rPr>
                <w:rFonts w:cs="Times New Roman"/>
                <w:sz w:val="19"/>
                <w:szCs w:val="19"/>
              </w:rPr>
              <w:t xml:space="preserve">providing education about, undertaking research into and advising the </w:t>
            </w:r>
            <w:r w:rsidRPr="00834BF0">
              <w:rPr>
                <w:sz w:val="19"/>
                <w:szCs w:val="19"/>
              </w:rPr>
              <w:t>Minister</w:t>
            </w:r>
            <w:r w:rsidRPr="00834BF0">
              <w:rPr>
                <w:rFonts w:cs="Times New Roman"/>
                <w:sz w:val="19"/>
                <w:szCs w:val="19"/>
              </w:rPr>
              <w:t xml:space="preserve"> on issues relating to adults with impaired decision-making capacity (including their rights and interests, support services and relevant laws).</w:t>
            </w:r>
            <w:r w:rsidRPr="00834BF0">
              <w:rPr>
                <w:rFonts w:cs="Times New Roman"/>
                <w:sz w:val="19"/>
                <w:szCs w:val="19"/>
                <w:vertAlign w:val="superscript"/>
              </w:rPr>
              <w:footnoteReference w:id="172"/>
            </w:r>
            <w:r w:rsidRPr="00834BF0">
              <w:rPr>
                <w:rFonts w:cs="Times New Roman"/>
                <w:sz w:val="19"/>
                <w:szCs w:val="19"/>
              </w:rPr>
              <w:t xml:space="preserve"> </w:t>
            </w:r>
          </w:p>
          <w:p w14:paraId="0111FB6E" w14:textId="77777777" w:rsidR="00030303" w:rsidRPr="00834BF0" w:rsidRDefault="00030303" w:rsidP="00030303">
            <w:pPr>
              <w:rPr>
                <w:rFonts w:cs="Times New Roman"/>
                <w:sz w:val="19"/>
                <w:szCs w:val="19"/>
              </w:rPr>
            </w:pPr>
          </w:p>
        </w:tc>
        <w:tc>
          <w:tcPr>
            <w:tcW w:w="0" w:type="auto"/>
          </w:tcPr>
          <w:p w14:paraId="29E7590B" w14:textId="77777777" w:rsidR="00030303" w:rsidRPr="00834BF0" w:rsidRDefault="00030303" w:rsidP="00030303">
            <w:pPr>
              <w:numPr>
                <w:ilvl w:val="0"/>
                <w:numId w:val="14"/>
              </w:numPr>
              <w:spacing w:after="0" w:line="240" w:lineRule="auto"/>
              <w:rPr>
                <w:b/>
                <w:sz w:val="19"/>
                <w:szCs w:val="19"/>
              </w:rPr>
            </w:pPr>
            <w:r w:rsidRPr="00834BF0">
              <w:rPr>
                <w:b/>
                <w:sz w:val="19"/>
                <w:szCs w:val="19"/>
              </w:rPr>
              <w:lastRenderedPageBreak/>
              <w:t>The Public Advocate</w:t>
            </w:r>
          </w:p>
          <w:p w14:paraId="2B4FC9AC" w14:textId="77777777" w:rsidR="00030303" w:rsidRPr="00834BF0" w:rsidRDefault="00030303" w:rsidP="00030303">
            <w:pPr>
              <w:numPr>
                <w:ilvl w:val="0"/>
                <w:numId w:val="14"/>
              </w:numPr>
              <w:spacing w:after="0" w:line="240" w:lineRule="auto"/>
              <w:rPr>
                <w:sz w:val="19"/>
                <w:szCs w:val="19"/>
              </w:rPr>
            </w:pPr>
            <w:r w:rsidRPr="00834BF0">
              <w:rPr>
                <w:sz w:val="19"/>
                <w:szCs w:val="19"/>
              </w:rPr>
              <w:lastRenderedPageBreak/>
              <w:t xml:space="preserve">Chapter 9 of the </w:t>
            </w:r>
            <w:r w:rsidRPr="00834BF0">
              <w:rPr>
                <w:i/>
                <w:sz w:val="19"/>
                <w:szCs w:val="19"/>
              </w:rPr>
              <w:t>Guardianship and Administration Act 2000</w:t>
            </w:r>
            <w:r w:rsidRPr="00834BF0">
              <w:rPr>
                <w:sz w:val="19"/>
                <w:szCs w:val="19"/>
              </w:rPr>
              <w:t xml:space="preserve"> (Qld) establishes the office of the Public Advocate. The Public Advocate is an independent statutory appointee with systemic advocacy functions relating to adults with impaired capacity. These include:</w:t>
            </w:r>
          </w:p>
          <w:p w14:paraId="2EF8A630" w14:textId="77777777" w:rsidR="00030303" w:rsidRPr="00834BF0" w:rsidRDefault="00030303" w:rsidP="00030303">
            <w:pPr>
              <w:numPr>
                <w:ilvl w:val="4"/>
                <w:numId w:val="14"/>
              </w:numPr>
              <w:spacing w:after="0" w:line="240" w:lineRule="auto"/>
              <w:rPr>
                <w:sz w:val="19"/>
                <w:szCs w:val="19"/>
              </w:rPr>
            </w:pPr>
            <w:r w:rsidRPr="00834BF0">
              <w:rPr>
                <w:sz w:val="19"/>
                <w:szCs w:val="19"/>
              </w:rPr>
              <w:t xml:space="preserve">protecting and promoting the rights of </w:t>
            </w:r>
            <w:r w:rsidRPr="00834BF0">
              <w:rPr>
                <w:sz w:val="19"/>
                <w:szCs w:val="19"/>
              </w:rPr>
              <w:lastRenderedPageBreak/>
              <w:t xml:space="preserve">adults with impaired capacity; </w:t>
            </w:r>
          </w:p>
          <w:p w14:paraId="140C4157" w14:textId="77777777" w:rsidR="00030303" w:rsidRPr="00834BF0" w:rsidRDefault="00030303" w:rsidP="00030303">
            <w:pPr>
              <w:numPr>
                <w:ilvl w:val="4"/>
                <w:numId w:val="14"/>
              </w:numPr>
              <w:spacing w:after="0" w:line="240" w:lineRule="auto"/>
              <w:rPr>
                <w:sz w:val="19"/>
                <w:szCs w:val="19"/>
              </w:rPr>
            </w:pPr>
            <w:r w:rsidRPr="00834BF0">
              <w:rPr>
                <w:sz w:val="19"/>
                <w:szCs w:val="19"/>
              </w:rPr>
              <w:t xml:space="preserve">protecting such adults from neglect, exploitation or abuse; </w:t>
            </w:r>
          </w:p>
          <w:p w14:paraId="353363C9" w14:textId="77777777" w:rsidR="00030303" w:rsidRPr="00834BF0" w:rsidRDefault="00030303" w:rsidP="00030303">
            <w:pPr>
              <w:numPr>
                <w:ilvl w:val="4"/>
                <w:numId w:val="14"/>
              </w:numPr>
              <w:spacing w:after="0" w:line="240" w:lineRule="auto"/>
              <w:rPr>
                <w:sz w:val="19"/>
                <w:szCs w:val="19"/>
              </w:rPr>
            </w:pPr>
            <w:r w:rsidRPr="00834BF0">
              <w:rPr>
                <w:sz w:val="19"/>
                <w:szCs w:val="19"/>
              </w:rPr>
              <w:t xml:space="preserve">encouraging the development of programs to help such adults achieve the greatest practicable degree of autonomy; and </w:t>
            </w:r>
          </w:p>
          <w:p w14:paraId="0F87E88E" w14:textId="77777777" w:rsidR="00030303" w:rsidRPr="00834BF0" w:rsidRDefault="00030303" w:rsidP="00030303">
            <w:pPr>
              <w:numPr>
                <w:ilvl w:val="4"/>
                <w:numId w:val="14"/>
              </w:numPr>
              <w:spacing w:after="0" w:line="240" w:lineRule="auto"/>
              <w:rPr>
                <w:sz w:val="19"/>
                <w:szCs w:val="19"/>
              </w:rPr>
            </w:pPr>
            <w:r w:rsidRPr="00834BF0">
              <w:rPr>
                <w:sz w:val="19"/>
                <w:szCs w:val="19"/>
              </w:rPr>
              <w:t>promoting and monitoring the provision of services and facilities to such adults.</w:t>
            </w:r>
            <w:r w:rsidRPr="00834BF0">
              <w:rPr>
                <w:sz w:val="19"/>
                <w:szCs w:val="19"/>
                <w:vertAlign w:val="superscript"/>
              </w:rPr>
              <w:footnoteReference w:id="173"/>
            </w:r>
            <w:r w:rsidRPr="00834BF0">
              <w:rPr>
                <w:sz w:val="19"/>
                <w:szCs w:val="19"/>
              </w:rPr>
              <w:t xml:space="preserve"> </w:t>
            </w:r>
          </w:p>
          <w:p w14:paraId="6BF15933" w14:textId="77777777" w:rsidR="00030303" w:rsidRPr="00834BF0" w:rsidRDefault="00030303" w:rsidP="00030303">
            <w:pPr>
              <w:rPr>
                <w:b/>
                <w:sz w:val="19"/>
                <w:szCs w:val="19"/>
              </w:rPr>
            </w:pPr>
          </w:p>
          <w:p w14:paraId="24F7F845" w14:textId="77777777" w:rsidR="00030303" w:rsidRPr="00834BF0" w:rsidRDefault="00030303" w:rsidP="00030303">
            <w:pPr>
              <w:rPr>
                <w:b/>
                <w:sz w:val="19"/>
                <w:szCs w:val="19"/>
              </w:rPr>
            </w:pPr>
            <w:r w:rsidRPr="00834BF0">
              <w:rPr>
                <w:b/>
                <w:sz w:val="19"/>
                <w:szCs w:val="19"/>
              </w:rPr>
              <w:t>The Public Guardian</w:t>
            </w:r>
          </w:p>
          <w:p w14:paraId="57FC3F2A" w14:textId="77777777" w:rsidR="00030303" w:rsidRPr="00834BF0" w:rsidRDefault="00030303" w:rsidP="00030303">
            <w:pPr>
              <w:numPr>
                <w:ilvl w:val="0"/>
                <w:numId w:val="14"/>
              </w:numPr>
              <w:spacing w:after="0" w:line="240" w:lineRule="auto"/>
              <w:rPr>
                <w:sz w:val="19"/>
                <w:szCs w:val="19"/>
              </w:rPr>
            </w:pPr>
            <w:r w:rsidRPr="00834BF0">
              <w:rPr>
                <w:sz w:val="19"/>
                <w:szCs w:val="19"/>
              </w:rPr>
              <w:t xml:space="preserve">The Public Guardian has similar functions under the </w:t>
            </w:r>
            <w:r w:rsidRPr="00834BF0">
              <w:rPr>
                <w:i/>
                <w:sz w:val="19"/>
                <w:szCs w:val="19"/>
              </w:rPr>
              <w:t xml:space="preserve">Public Guardian Act 2014 </w:t>
            </w:r>
            <w:r w:rsidRPr="00834BF0">
              <w:rPr>
                <w:sz w:val="19"/>
                <w:szCs w:val="19"/>
              </w:rPr>
              <w:t>(Qld). In addition to acting as a guardian or attorney for a person, where so appointed, its functions include:</w:t>
            </w:r>
          </w:p>
          <w:p w14:paraId="03100EC5" w14:textId="77777777" w:rsidR="00030303" w:rsidRPr="00834BF0" w:rsidRDefault="00030303" w:rsidP="00030303">
            <w:pPr>
              <w:numPr>
                <w:ilvl w:val="4"/>
                <w:numId w:val="14"/>
              </w:numPr>
              <w:spacing w:after="0" w:line="240" w:lineRule="auto"/>
              <w:rPr>
                <w:sz w:val="19"/>
                <w:szCs w:val="19"/>
              </w:rPr>
            </w:pPr>
            <w:r w:rsidRPr="00834BF0">
              <w:rPr>
                <w:sz w:val="19"/>
                <w:szCs w:val="19"/>
              </w:rPr>
              <w:t xml:space="preserve">protecting adults with impaired capacity from neglect, </w:t>
            </w:r>
            <w:r w:rsidRPr="00834BF0">
              <w:rPr>
                <w:sz w:val="19"/>
                <w:szCs w:val="19"/>
              </w:rPr>
              <w:lastRenderedPageBreak/>
              <w:t xml:space="preserve">exploitation or abuse; </w:t>
            </w:r>
          </w:p>
          <w:p w14:paraId="1A134D3F" w14:textId="77777777" w:rsidR="00030303" w:rsidRPr="00834BF0" w:rsidRDefault="00030303" w:rsidP="00030303">
            <w:pPr>
              <w:numPr>
                <w:ilvl w:val="4"/>
                <w:numId w:val="14"/>
              </w:numPr>
              <w:spacing w:after="0" w:line="240" w:lineRule="auto"/>
              <w:rPr>
                <w:sz w:val="19"/>
                <w:szCs w:val="19"/>
              </w:rPr>
            </w:pPr>
            <w:r w:rsidRPr="00834BF0">
              <w:rPr>
                <w:sz w:val="19"/>
                <w:szCs w:val="19"/>
              </w:rPr>
              <w:t>administering the community visitor program established by the Act;</w:t>
            </w:r>
          </w:p>
          <w:p w14:paraId="71872DC5" w14:textId="77777777" w:rsidR="00030303" w:rsidRPr="00834BF0" w:rsidRDefault="00030303" w:rsidP="00030303">
            <w:pPr>
              <w:numPr>
                <w:ilvl w:val="4"/>
                <w:numId w:val="14"/>
              </w:numPr>
              <w:spacing w:after="0" w:line="240" w:lineRule="auto"/>
              <w:rPr>
                <w:sz w:val="19"/>
                <w:szCs w:val="19"/>
              </w:rPr>
            </w:pPr>
            <w:r w:rsidRPr="00834BF0">
              <w:rPr>
                <w:sz w:val="19"/>
                <w:szCs w:val="19"/>
              </w:rPr>
              <w:t>investigating, mediating and conciliating complaints regarding attorneys, guardians and administrators; and</w:t>
            </w:r>
          </w:p>
          <w:p w14:paraId="69F3E523" w14:textId="77777777" w:rsidR="00030303" w:rsidRPr="00834BF0" w:rsidRDefault="00030303" w:rsidP="00030303">
            <w:pPr>
              <w:numPr>
                <w:ilvl w:val="4"/>
                <w:numId w:val="14"/>
              </w:numPr>
              <w:spacing w:after="0" w:line="240" w:lineRule="auto"/>
              <w:rPr>
                <w:sz w:val="19"/>
                <w:szCs w:val="19"/>
              </w:rPr>
            </w:pPr>
            <w:r w:rsidRPr="00834BF0">
              <w:rPr>
                <w:sz w:val="19"/>
                <w:szCs w:val="19"/>
              </w:rPr>
              <w:t>seeking help (</w:t>
            </w:r>
            <w:proofErr w:type="spellStart"/>
            <w:r w:rsidRPr="00834BF0">
              <w:rPr>
                <w:sz w:val="19"/>
                <w:szCs w:val="19"/>
              </w:rPr>
              <w:t>eg</w:t>
            </w:r>
            <w:proofErr w:type="spellEnd"/>
            <w:r w:rsidRPr="00834BF0">
              <w:rPr>
                <w:sz w:val="19"/>
                <w:szCs w:val="19"/>
              </w:rPr>
              <w:t xml:space="preserve">, from government or service providers) or making representations for adults with </w:t>
            </w:r>
            <w:r w:rsidRPr="00834BF0">
              <w:rPr>
                <w:sz w:val="19"/>
                <w:szCs w:val="19"/>
              </w:rPr>
              <w:lastRenderedPageBreak/>
              <w:t>impaired capacity.</w:t>
            </w:r>
            <w:r w:rsidRPr="00834BF0">
              <w:rPr>
                <w:sz w:val="19"/>
                <w:szCs w:val="19"/>
                <w:vertAlign w:val="superscript"/>
              </w:rPr>
              <w:footnoteReference w:id="174"/>
            </w:r>
            <w:r w:rsidRPr="00834BF0">
              <w:rPr>
                <w:sz w:val="19"/>
                <w:szCs w:val="19"/>
              </w:rPr>
              <w:t xml:space="preserve"> </w:t>
            </w:r>
          </w:p>
          <w:p w14:paraId="4CAA523F" w14:textId="77777777" w:rsidR="00030303" w:rsidRPr="00834BF0" w:rsidRDefault="00030303" w:rsidP="00030303">
            <w:pPr>
              <w:rPr>
                <w:rFonts w:eastAsia="Times New Roman"/>
                <w:sz w:val="19"/>
                <w:szCs w:val="19"/>
                <w:lang w:eastAsia="en-AU"/>
              </w:rPr>
            </w:pPr>
            <w:r w:rsidRPr="00834BF0">
              <w:rPr>
                <w:rFonts w:eastAsia="Times New Roman"/>
                <w:sz w:val="19"/>
                <w:szCs w:val="19"/>
                <w:lang w:eastAsia="en-AU"/>
              </w:rPr>
              <w:t xml:space="preserve">The Public Guardian may:  </w:t>
            </w:r>
          </w:p>
          <w:p w14:paraId="3D220F42" w14:textId="77777777" w:rsidR="00030303" w:rsidRPr="00834BF0" w:rsidRDefault="00030303" w:rsidP="00030303">
            <w:pPr>
              <w:numPr>
                <w:ilvl w:val="4"/>
                <w:numId w:val="14"/>
              </w:numPr>
              <w:spacing w:after="0" w:line="240" w:lineRule="auto"/>
              <w:rPr>
                <w:rFonts w:eastAsia="Times New Roman"/>
                <w:sz w:val="19"/>
                <w:szCs w:val="19"/>
                <w:lang w:eastAsia="en-AU"/>
              </w:rPr>
            </w:pPr>
            <w:r w:rsidRPr="00834BF0">
              <w:rPr>
                <w:rFonts w:eastAsia="Times New Roman"/>
                <w:sz w:val="19"/>
                <w:szCs w:val="19"/>
                <w:lang w:eastAsia="en-AU"/>
              </w:rPr>
              <w:t xml:space="preserve">investigate complaints or </w:t>
            </w:r>
            <w:r w:rsidRPr="00834BF0">
              <w:rPr>
                <w:sz w:val="19"/>
                <w:szCs w:val="19"/>
              </w:rPr>
              <w:t>allegations</w:t>
            </w:r>
            <w:r w:rsidRPr="00834BF0">
              <w:rPr>
                <w:rFonts w:eastAsia="Times New Roman"/>
                <w:sz w:val="19"/>
                <w:szCs w:val="19"/>
                <w:lang w:eastAsia="en-AU"/>
              </w:rPr>
              <w:t xml:space="preserve"> that an adult with impaired capacity has been neglected, abused or exploited, or has inappropriate or inadequate decision-making arrangements;</w:t>
            </w:r>
            <w:r w:rsidRPr="00834BF0">
              <w:rPr>
                <w:rFonts w:eastAsia="Times New Roman"/>
                <w:sz w:val="19"/>
                <w:szCs w:val="19"/>
                <w:vertAlign w:val="superscript"/>
                <w:lang w:eastAsia="en-AU"/>
              </w:rPr>
              <w:footnoteReference w:id="175"/>
            </w:r>
            <w:r w:rsidRPr="00834BF0">
              <w:rPr>
                <w:rFonts w:eastAsia="Times New Roman"/>
                <w:sz w:val="19"/>
                <w:szCs w:val="19"/>
                <w:lang w:eastAsia="en-AU"/>
              </w:rPr>
              <w:t xml:space="preserve"> </w:t>
            </w:r>
          </w:p>
          <w:p w14:paraId="5EB01EAE" w14:textId="77777777" w:rsidR="00030303" w:rsidRPr="00834BF0" w:rsidRDefault="00030303" w:rsidP="00030303">
            <w:pPr>
              <w:numPr>
                <w:ilvl w:val="4"/>
                <w:numId w:val="14"/>
              </w:numPr>
              <w:spacing w:after="0" w:line="240" w:lineRule="auto"/>
              <w:rPr>
                <w:rFonts w:eastAsia="Times New Roman"/>
                <w:sz w:val="19"/>
                <w:szCs w:val="19"/>
                <w:lang w:eastAsia="en-AU"/>
              </w:rPr>
            </w:pPr>
            <w:r w:rsidRPr="00834BF0">
              <w:rPr>
                <w:rFonts w:eastAsia="Times New Roman"/>
                <w:sz w:val="19"/>
                <w:szCs w:val="19"/>
                <w:lang w:eastAsia="en-AU"/>
              </w:rPr>
              <w:t xml:space="preserve">exercise protective powers for adults with impaired capacity – </w:t>
            </w:r>
            <w:proofErr w:type="spellStart"/>
            <w:r w:rsidRPr="00834BF0">
              <w:rPr>
                <w:rFonts w:eastAsia="Times New Roman"/>
                <w:sz w:val="19"/>
                <w:szCs w:val="19"/>
                <w:lang w:eastAsia="en-AU"/>
              </w:rPr>
              <w:t>eg</w:t>
            </w:r>
            <w:proofErr w:type="spellEnd"/>
            <w:r w:rsidRPr="00834BF0">
              <w:rPr>
                <w:rFonts w:eastAsia="Times New Roman"/>
                <w:sz w:val="19"/>
                <w:szCs w:val="19"/>
                <w:lang w:eastAsia="en-AU"/>
              </w:rPr>
              <w:t>:</w:t>
            </w:r>
          </w:p>
          <w:p w14:paraId="2595F2E5" w14:textId="77777777" w:rsidR="00030303" w:rsidRPr="00834BF0" w:rsidRDefault="00030303" w:rsidP="00030303">
            <w:pPr>
              <w:pStyle w:val="NumberLevel6"/>
            </w:pPr>
            <w:r w:rsidRPr="00834BF0">
              <w:lastRenderedPageBreak/>
              <w:t>take legal action on their behalf where the person’s property is wrongfully taken, or money is payable to them; or</w:t>
            </w:r>
          </w:p>
          <w:p w14:paraId="0494146F" w14:textId="77777777" w:rsidR="00030303" w:rsidRPr="00834BF0" w:rsidRDefault="00030303" w:rsidP="00030303">
            <w:pPr>
              <w:pStyle w:val="NumberLevel6"/>
            </w:pPr>
            <w:r w:rsidRPr="00834BF0">
              <w:t xml:space="preserve">seek tribunal orders empowering the Public Guardian to remove such an adult from a place at which they are at </w:t>
            </w:r>
            <w:r w:rsidRPr="00834BF0">
              <w:lastRenderedPageBreak/>
              <w:t>immediate risk of harm due to neglect, exploitation or abuse.</w:t>
            </w:r>
            <w:r w:rsidRPr="00834BF0">
              <w:rPr>
                <w:vertAlign w:val="superscript"/>
              </w:rPr>
              <w:footnoteReference w:id="176"/>
            </w:r>
          </w:p>
        </w:tc>
        <w:tc>
          <w:tcPr>
            <w:tcW w:w="0" w:type="auto"/>
          </w:tcPr>
          <w:p w14:paraId="3FE0A69D" w14:textId="77777777" w:rsidR="00030303" w:rsidRPr="00834BF0" w:rsidRDefault="00030303" w:rsidP="00030303">
            <w:pPr>
              <w:numPr>
                <w:ilvl w:val="0"/>
                <w:numId w:val="14"/>
              </w:numPr>
              <w:spacing w:after="0" w:line="240" w:lineRule="auto"/>
              <w:rPr>
                <w:rFonts w:cs="Times New Roman"/>
                <w:sz w:val="19"/>
                <w:szCs w:val="19"/>
                <w:lang w:val="en"/>
              </w:rPr>
            </w:pPr>
            <w:r w:rsidRPr="00834BF0">
              <w:rPr>
                <w:rFonts w:cs="Times New Roman"/>
                <w:sz w:val="19"/>
                <w:szCs w:val="19"/>
                <w:lang w:val="en"/>
              </w:rPr>
              <w:lastRenderedPageBreak/>
              <w:t xml:space="preserve">The </w:t>
            </w:r>
            <w:r w:rsidRPr="00834BF0">
              <w:rPr>
                <w:rFonts w:cs="Times New Roman"/>
                <w:i/>
                <w:sz w:val="19"/>
                <w:szCs w:val="19"/>
                <w:lang w:val="en"/>
              </w:rPr>
              <w:t xml:space="preserve">Guardianship and </w:t>
            </w:r>
            <w:r w:rsidRPr="00834BF0">
              <w:rPr>
                <w:rFonts w:cs="Times New Roman"/>
                <w:i/>
                <w:sz w:val="19"/>
                <w:szCs w:val="19"/>
                <w:lang w:val="en"/>
              </w:rPr>
              <w:lastRenderedPageBreak/>
              <w:t xml:space="preserve">Administration Act 1993 </w:t>
            </w:r>
            <w:r w:rsidRPr="00834BF0">
              <w:rPr>
                <w:rFonts w:cs="Times New Roman"/>
                <w:sz w:val="19"/>
                <w:szCs w:val="19"/>
                <w:lang w:val="en"/>
              </w:rPr>
              <w:t>(SA) establishes the office of the Public Advocate.</w:t>
            </w:r>
            <w:r w:rsidRPr="00834BF0">
              <w:rPr>
                <w:rFonts w:ascii="Arial" w:hAnsi="Arial" w:cs="Arial"/>
                <w:sz w:val="19"/>
                <w:szCs w:val="19"/>
                <w:vertAlign w:val="superscript"/>
                <w:lang w:val="en"/>
              </w:rPr>
              <w:footnoteReference w:id="177"/>
            </w:r>
            <w:r w:rsidRPr="00834BF0">
              <w:rPr>
                <w:rFonts w:cs="Times New Roman"/>
                <w:sz w:val="19"/>
                <w:szCs w:val="19"/>
                <w:lang w:val="en"/>
              </w:rPr>
              <w:t xml:space="preserve"> The Public Advocate is an independent statutory </w:t>
            </w:r>
            <w:r w:rsidRPr="00834BF0">
              <w:rPr>
                <w:sz w:val="19"/>
                <w:szCs w:val="19"/>
              </w:rPr>
              <w:t>appointee</w:t>
            </w:r>
            <w:r w:rsidRPr="00834BF0">
              <w:rPr>
                <w:rFonts w:cs="Times New Roman"/>
                <w:sz w:val="19"/>
                <w:szCs w:val="19"/>
                <w:lang w:val="en"/>
              </w:rPr>
              <w:t xml:space="preserve"> who performs protective and advocacy functions in relation to ‘mentally incapacitated </w:t>
            </w:r>
            <w:proofErr w:type="gramStart"/>
            <w:r w:rsidRPr="00834BF0">
              <w:rPr>
                <w:rFonts w:cs="Times New Roman"/>
                <w:sz w:val="19"/>
                <w:szCs w:val="19"/>
                <w:lang w:val="en"/>
              </w:rPr>
              <w:t>persons’</w:t>
            </w:r>
            <w:proofErr w:type="gramEnd"/>
            <w:r w:rsidRPr="00834BF0">
              <w:rPr>
                <w:rFonts w:cs="Times New Roman"/>
                <w:sz w:val="19"/>
                <w:szCs w:val="19"/>
                <w:lang w:val="en"/>
              </w:rPr>
              <w:t>.</w:t>
            </w:r>
            <w:r w:rsidRPr="00834BF0">
              <w:rPr>
                <w:rFonts w:ascii="Arial" w:hAnsi="Arial" w:cs="Arial"/>
                <w:sz w:val="19"/>
                <w:szCs w:val="19"/>
                <w:vertAlign w:val="superscript"/>
                <w:lang w:val="en"/>
              </w:rPr>
              <w:footnoteReference w:id="178"/>
            </w:r>
            <w:r w:rsidRPr="00834BF0">
              <w:rPr>
                <w:rFonts w:cs="Times New Roman"/>
                <w:sz w:val="19"/>
                <w:szCs w:val="19"/>
                <w:lang w:val="en"/>
              </w:rPr>
              <w:t xml:space="preserve"> The Public Advocate is responsible for matters such as: </w:t>
            </w:r>
          </w:p>
          <w:p w14:paraId="2864A908" w14:textId="77777777" w:rsidR="00030303" w:rsidRPr="00834BF0" w:rsidRDefault="00030303" w:rsidP="00030303">
            <w:pPr>
              <w:numPr>
                <w:ilvl w:val="4"/>
                <w:numId w:val="14"/>
              </w:numPr>
              <w:spacing w:after="0" w:line="240" w:lineRule="auto"/>
              <w:rPr>
                <w:rFonts w:cs="Times New Roman"/>
                <w:sz w:val="19"/>
                <w:szCs w:val="19"/>
                <w:lang w:val="en"/>
              </w:rPr>
            </w:pPr>
            <w:r w:rsidRPr="00834BF0">
              <w:rPr>
                <w:rFonts w:cs="Times New Roman"/>
                <w:sz w:val="19"/>
                <w:szCs w:val="19"/>
                <w:lang w:val="en"/>
              </w:rPr>
              <w:lastRenderedPageBreak/>
              <w:t xml:space="preserve">monitoring </w:t>
            </w:r>
            <w:r w:rsidRPr="00834BF0">
              <w:rPr>
                <w:sz w:val="19"/>
                <w:szCs w:val="19"/>
              </w:rPr>
              <w:t>programs</w:t>
            </w:r>
            <w:r w:rsidRPr="00834BF0">
              <w:rPr>
                <w:rFonts w:cs="Times New Roman"/>
                <w:sz w:val="19"/>
                <w:szCs w:val="19"/>
                <w:lang w:val="en"/>
              </w:rPr>
              <w:t xml:space="preserve"> designed to meet the needs of mentally incapacitated persons, and recommending the development of new programs in areas of unmet need;</w:t>
            </w:r>
          </w:p>
          <w:p w14:paraId="38B56323" w14:textId="77777777" w:rsidR="00030303" w:rsidRPr="00834BF0" w:rsidRDefault="00030303" w:rsidP="00030303">
            <w:pPr>
              <w:numPr>
                <w:ilvl w:val="4"/>
                <w:numId w:val="14"/>
              </w:numPr>
              <w:spacing w:after="0" w:line="240" w:lineRule="auto"/>
              <w:rPr>
                <w:rFonts w:cs="Times New Roman"/>
                <w:sz w:val="19"/>
                <w:szCs w:val="19"/>
                <w:lang w:val="en"/>
              </w:rPr>
            </w:pPr>
            <w:r w:rsidRPr="00834BF0">
              <w:rPr>
                <w:rFonts w:cs="Times New Roman"/>
                <w:sz w:val="19"/>
                <w:szCs w:val="19"/>
                <w:lang w:val="en"/>
              </w:rPr>
              <w:t xml:space="preserve">promoting the rights and interests of mentally incapacitated </w:t>
            </w:r>
            <w:r w:rsidRPr="00834BF0">
              <w:rPr>
                <w:sz w:val="19"/>
                <w:szCs w:val="19"/>
              </w:rPr>
              <w:t>persons</w:t>
            </w:r>
            <w:r w:rsidRPr="00834BF0">
              <w:rPr>
                <w:rFonts w:cs="Times New Roman"/>
                <w:sz w:val="19"/>
                <w:szCs w:val="19"/>
                <w:lang w:val="en"/>
              </w:rPr>
              <w:t xml:space="preserve">, and speaking for and negotiating on their behalf to resolve </w:t>
            </w:r>
            <w:r w:rsidRPr="00834BF0">
              <w:rPr>
                <w:rFonts w:cs="Times New Roman"/>
                <w:sz w:val="19"/>
                <w:szCs w:val="19"/>
                <w:lang w:val="en"/>
              </w:rPr>
              <w:lastRenderedPageBreak/>
              <w:t>problems arising out of that incapacity; and</w:t>
            </w:r>
          </w:p>
          <w:p w14:paraId="21A8F747" w14:textId="77777777" w:rsidR="00030303" w:rsidRPr="00834BF0" w:rsidRDefault="00030303" w:rsidP="00030303">
            <w:pPr>
              <w:numPr>
                <w:ilvl w:val="4"/>
                <w:numId w:val="14"/>
              </w:numPr>
              <w:spacing w:after="0" w:line="240" w:lineRule="auto"/>
              <w:rPr>
                <w:rFonts w:cs="Times New Roman"/>
                <w:sz w:val="19"/>
                <w:szCs w:val="19"/>
                <w:lang w:val="en"/>
              </w:rPr>
            </w:pPr>
            <w:r w:rsidRPr="00834BF0">
              <w:rPr>
                <w:rFonts w:cs="Times New Roman"/>
                <w:sz w:val="19"/>
                <w:szCs w:val="19"/>
                <w:lang w:val="en"/>
              </w:rPr>
              <w:t xml:space="preserve">advising on the exercise of powers under, and monitoring the </w:t>
            </w:r>
            <w:r w:rsidRPr="00834BF0">
              <w:rPr>
                <w:sz w:val="19"/>
                <w:szCs w:val="19"/>
              </w:rPr>
              <w:t>administration</w:t>
            </w:r>
            <w:r w:rsidRPr="00834BF0">
              <w:rPr>
                <w:rFonts w:cs="Times New Roman"/>
                <w:sz w:val="19"/>
                <w:szCs w:val="19"/>
                <w:lang w:val="en"/>
              </w:rPr>
              <w:t xml:space="preserve"> of, the Act.</w:t>
            </w:r>
            <w:r w:rsidRPr="00834BF0">
              <w:rPr>
                <w:rFonts w:ascii="Arial" w:hAnsi="Arial" w:cs="Arial"/>
                <w:sz w:val="19"/>
                <w:szCs w:val="19"/>
                <w:vertAlign w:val="superscript"/>
                <w:lang w:val="en"/>
              </w:rPr>
              <w:footnoteReference w:id="179"/>
            </w:r>
            <w:r w:rsidRPr="00834BF0">
              <w:rPr>
                <w:rFonts w:cs="Times New Roman"/>
                <w:sz w:val="19"/>
                <w:szCs w:val="19"/>
                <w:lang w:val="en"/>
              </w:rPr>
              <w:t xml:space="preserve"> </w:t>
            </w:r>
          </w:p>
          <w:p w14:paraId="6A233628" w14:textId="77777777" w:rsidR="00030303" w:rsidRPr="00834BF0" w:rsidRDefault="00030303" w:rsidP="00030303">
            <w:pPr>
              <w:rPr>
                <w:rFonts w:cs="Times New Roman"/>
                <w:sz w:val="19"/>
                <w:szCs w:val="19"/>
              </w:rPr>
            </w:pPr>
          </w:p>
        </w:tc>
        <w:tc>
          <w:tcPr>
            <w:tcW w:w="0" w:type="auto"/>
          </w:tcPr>
          <w:p w14:paraId="63E194CA" w14:textId="77777777" w:rsidR="00030303" w:rsidRPr="00834BF0" w:rsidRDefault="00030303" w:rsidP="00030303">
            <w:pPr>
              <w:numPr>
                <w:ilvl w:val="0"/>
                <w:numId w:val="14"/>
              </w:numPr>
              <w:spacing w:after="0" w:line="240" w:lineRule="auto"/>
              <w:rPr>
                <w:rFonts w:cs="Times New Roman"/>
                <w:sz w:val="19"/>
                <w:szCs w:val="19"/>
                <w:lang w:val="en"/>
              </w:rPr>
            </w:pPr>
            <w:r w:rsidRPr="00834BF0">
              <w:rPr>
                <w:rFonts w:cs="Times New Roman"/>
                <w:sz w:val="19"/>
                <w:szCs w:val="19"/>
                <w:lang w:val="en"/>
              </w:rPr>
              <w:lastRenderedPageBreak/>
              <w:t xml:space="preserve">The </w:t>
            </w:r>
            <w:r w:rsidRPr="00834BF0">
              <w:rPr>
                <w:rFonts w:cs="Times New Roman"/>
                <w:i/>
                <w:sz w:val="19"/>
                <w:szCs w:val="19"/>
                <w:lang w:val="en"/>
              </w:rPr>
              <w:t xml:space="preserve">Guardianship and Administration </w:t>
            </w:r>
            <w:r w:rsidRPr="00834BF0">
              <w:rPr>
                <w:rFonts w:cs="Times New Roman"/>
                <w:i/>
                <w:sz w:val="19"/>
                <w:szCs w:val="19"/>
                <w:lang w:val="en"/>
              </w:rPr>
              <w:lastRenderedPageBreak/>
              <w:t xml:space="preserve">Act 1995 </w:t>
            </w:r>
            <w:r w:rsidRPr="00834BF0">
              <w:rPr>
                <w:rFonts w:cs="Times New Roman"/>
                <w:sz w:val="19"/>
                <w:szCs w:val="19"/>
                <w:lang w:val="en"/>
              </w:rPr>
              <w:t>(Tas) establishes the office of the Public Guardian.</w:t>
            </w:r>
            <w:r w:rsidRPr="00834BF0">
              <w:rPr>
                <w:rFonts w:cs="Times New Roman"/>
                <w:sz w:val="19"/>
                <w:szCs w:val="19"/>
                <w:vertAlign w:val="superscript"/>
                <w:lang w:val="en"/>
              </w:rPr>
              <w:footnoteReference w:id="180"/>
            </w:r>
            <w:r w:rsidRPr="00834BF0">
              <w:rPr>
                <w:rFonts w:cs="Times New Roman"/>
                <w:sz w:val="19"/>
                <w:szCs w:val="19"/>
                <w:lang w:val="en"/>
              </w:rPr>
              <w:t xml:space="preserve"> The Public Guardian, in addition to acting as guardian for a person with impaired capacity where appointed to do so, has functions such as:  </w:t>
            </w:r>
          </w:p>
          <w:p w14:paraId="6015F7AD" w14:textId="77777777" w:rsidR="00030303" w:rsidRPr="00834BF0" w:rsidRDefault="00030303" w:rsidP="00030303">
            <w:pPr>
              <w:numPr>
                <w:ilvl w:val="4"/>
                <w:numId w:val="14"/>
              </w:numPr>
              <w:tabs>
                <w:tab w:val="num" w:pos="425"/>
              </w:tabs>
              <w:spacing w:after="0" w:line="240" w:lineRule="auto"/>
              <w:rPr>
                <w:rFonts w:cs="Times New Roman"/>
                <w:sz w:val="19"/>
                <w:szCs w:val="19"/>
              </w:rPr>
            </w:pPr>
            <w:r w:rsidRPr="00834BF0">
              <w:rPr>
                <w:rFonts w:cs="Times New Roman"/>
                <w:sz w:val="19"/>
                <w:szCs w:val="19"/>
              </w:rPr>
              <w:t xml:space="preserve">fostering the provision of services and facilities for people with </w:t>
            </w:r>
            <w:r w:rsidRPr="00834BF0">
              <w:rPr>
                <w:rFonts w:cs="Times New Roman"/>
                <w:sz w:val="19"/>
                <w:szCs w:val="19"/>
                <w:lang w:val="en"/>
              </w:rPr>
              <w:t>disability</w:t>
            </w:r>
            <w:r w:rsidRPr="00834BF0">
              <w:rPr>
                <w:rFonts w:cs="Times New Roman"/>
                <w:sz w:val="19"/>
                <w:szCs w:val="19"/>
              </w:rPr>
              <w:t>;</w:t>
            </w:r>
          </w:p>
          <w:p w14:paraId="45CB9013" w14:textId="77777777" w:rsidR="00030303" w:rsidRPr="00834BF0" w:rsidRDefault="00030303" w:rsidP="00030303">
            <w:pPr>
              <w:numPr>
                <w:ilvl w:val="4"/>
                <w:numId w:val="14"/>
              </w:numPr>
              <w:tabs>
                <w:tab w:val="num" w:pos="425"/>
              </w:tabs>
              <w:spacing w:after="0" w:line="240" w:lineRule="auto"/>
              <w:rPr>
                <w:rFonts w:cs="Times New Roman"/>
                <w:sz w:val="19"/>
                <w:szCs w:val="19"/>
              </w:rPr>
            </w:pPr>
            <w:bookmarkStart w:id="34" w:name="GS15@Gs1@Hpb@EN"/>
            <w:bookmarkEnd w:id="34"/>
            <w:r w:rsidRPr="00834BF0">
              <w:rPr>
                <w:rFonts w:cs="Times New Roman"/>
                <w:sz w:val="19"/>
                <w:szCs w:val="19"/>
              </w:rPr>
              <w:t xml:space="preserve">supporting the establishment of </w:t>
            </w:r>
            <w:r w:rsidRPr="00834BF0">
              <w:rPr>
                <w:rFonts w:cs="Times New Roman"/>
                <w:sz w:val="19"/>
                <w:szCs w:val="19"/>
              </w:rPr>
              <w:lastRenderedPageBreak/>
              <w:t xml:space="preserve">organisations and encouraging the development </w:t>
            </w:r>
            <w:r w:rsidRPr="00834BF0">
              <w:rPr>
                <w:rFonts w:cs="Times New Roman"/>
                <w:sz w:val="19"/>
                <w:szCs w:val="19"/>
                <w:lang w:val="en"/>
              </w:rPr>
              <w:t>of</w:t>
            </w:r>
            <w:r w:rsidRPr="00834BF0">
              <w:rPr>
                <w:rFonts w:cs="Times New Roman"/>
                <w:sz w:val="19"/>
                <w:szCs w:val="19"/>
              </w:rPr>
              <w:t xml:space="preserve"> programs that support people with disability; </w:t>
            </w:r>
          </w:p>
          <w:p w14:paraId="2D62F5C8" w14:textId="77777777" w:rsidR="00030303" w:rsidRPr="00834BF0" w:rsidRDefault="00030303" w:rsidP="00030303">
            <w:pPr>
              <w:numPr>
                <w:ilvl w:val="4"/>
                <w:numId w:val="14"/>
              </w:numPr>
              <w:tabs>
                <w:tab w:val="num" w:pos="425"/>
              </w:tabs>
              <w:spacing w:after="0" w:line="240" w:lineRule="auto"/>
              <w:rPr>
                <w:rFonts w:cs="Times New Roman"/>
                <w:sz w:val="19"/>
                <w:szCs w:val="19"/>
              </w:rPr>
            </w:pPr>
            <w:bookmarkStart w:id="35" w:name="GS15@Gs1@Hpc@EN"/>
            <w:bookmarkStart w:id="36" w:name="GS15@Gs1@Hpd@EN"/>
            <w:bookmarkEnd w:id="35"/>
            <w:bookmarkEnd w:id="36"/>
            <w:r w:rsidRPr="00834BF0">
              <w:rPr>
                <w:rFonts w:cs="Times New Roman"/>
                <w:sz w:val="19"/>
                <w:szCs w:val="19"/>
              </w:rPr>
              <w:t>promoting, speaking for and protecting the rights and interests of people with disability, and dealing with service providers on their behalf; and</w:t>
            </w:r>
          </w:p>
          <w:p w14:paraId="487BBB12" w14:textId="77777777" w:rsidR="00030303" w:rsidRPr="00834BF0" w:rsidRDefault="00030303" w:rsidP="00030303">
            <w:pPr>
              <w:numPr>
                <w:ilvl w:val="4"/>
                <w:numId w:val="14"/>
              </w:numPr>
              <w:tabs>
                <w:tab w:val="num" w:pos="425"/>
              </w:tabs>
              <w:spacing w:after="0" w:line="240" w:lineRule="auto"/>
              <w:rPr>
                <w:rFonts w:cs="Times New Roman"/>
                <w:sz w:val="19"/>
                <w:szCs w:val="19"/>
              </w:rPr>
            </w:pPr>
            <w:bookmarkStart w:id="37" w:name="GS15@Gs1@Hpe@EN"/>
            <w:bookmarkStart w:id="38" w:name="GS15@Gs1@Hpf@EN"/>
            <w:bookmarkEnd w:id="37"/>
            <w:bookmarkEnd w:id="38"/>
            <w:r w:rsidRPr="00834BF0">
              <w:rPr>
                <w:rFonts w:cs="Times New Roman"/>
                <w:sz w:val="19"/>
                <w:szCs w:val="19"/>
              </w:rPr>
              <w:t xml:space="preserve">investigating, reporting on and making </w:t>
            </w:r>
            <w:r w:rsidRPr="00834BF0">
              <w:rPr>
                <w:rFonts w:cs="Times New Roman"/>
                <w:sz w:val="19"/>
                <w:szCs w:val="19"/>
                <w:lang w:val="en"/>
              </w:rPr>
              <w:t>recommendations</w:t>
            </w:r>
            <w:r w:rsidRPr="00834BF0">
              <w:rPr>
                <w:rFonts w:cs="Times New Roman"/>
                <w:sz w:val="19"/>
                <w:szCs w:val="19"/>
              </w:rPr>
              <w:t xml:space="preserve"> to the Minister on matters </w:t>
            </w:r>
            <w:r w:rsidRPr="00834BF0">
              <w:rPr>
                <w:rFonts w:cs="Times New Roman"/>
                <w:sz w:val="19"/>
                <w:szCs w:val="19"/>
              </w:rPr>
              <w:lastRenderedPageBreak/>
              <w:t>relating to the operation of the Act.</w:t>
            </w:r>
            <w:r w:rsidRPr="00834BF0">
              <w:rPr>
                <w:rFonts w:cs="Times New Roman"/>
                <w:sz w:val="19"/>
                <w:szCs w:val="19"/>
                <w:vertAlign w:val="superscript"/>
              </w:rPr>
              <w:footnoteReference w:id="181"/>
            </w:r>
            <w:r w:rsidRPr="00834BF0">
              <w:rPr>
                <w:rFonts w:cs="Times New Roman"/>
                <w:sz w:val="19"/>
                <w:szCs w:val="19"/>
              </w:rPr>
              <w:t xml:space="preserve"> </w:t>
            </w:r>
          </w:p>
          <w:p w14:paraId="4DC46AF8" w14:textId="77777777" w:rsidR="00030303" w:rsidRPr="00834BF0" w:rsidRDefault="00030303" w:rsidP="00030303">
            <w:pPr>
              <w:numPr>
                <w:ilvl w:val="0"/>
                <w:numId w:val="14"/>
              </w:numPr>
              <w:spacing w:after="0" w:line="240" w:lineRule="auto"/>
              <w:rPr>
                <w:rFonts w:cs="Times New Roman"/>
                <w:sz w:val="19"/>
                <w:szCs w:val="19"/>
              </w:rPr>
            </w:pPr>
            <w:r w:rsidRPr="00834BF0">
              <w:rPr>
                <w:rFonts w:cs="Times New Roman"/>
                <w:sz w:val="19"/>
                <w:szCs w:val="19"/>
              </w:rPr>
              <w:t>The Public Guardian has power to do all things necessary or convenient to be done in connection with the performance of those functions,</w:t>
            </w:r>
            <w:r w:rsidRPr="00834BF0">
              <w:rPr>
                <w:rFonts w:cs="Times New Roman"/>
                <w:sz w:val="19"/>
                <w:szCs w:val="19"/>
                <w:vertAlign w:val="superscript"/>
              </w:rPr>
              <w:footnoteReference w:id="182"/>
            </w:r>
            <w:r w:rsidRPr="00834BF0">
              <w:rPr>
                <w:rFonts w:cs="Times New Roman"/>
                <w:sz w:val="19"/>
                <w:szCs w:val="19"/>
              </w:rPr>
              <w:t xml:space="preserve"> and may also investigate complaints relating to guardians, administrators and attorneys.</w:t>
            </w:r>
            <w:r w:rsidRPr="00834BF0">
              <w:rPr>
                <w:rFonts w:cs="Times New Roman"/>
                <w:sz w:val="19"/>
                <w:szCs w:val="19"/>
                <w:vertAlign w:val="superscript"/>
              </w:rPr>
              <w:footnoteReference w:id="183"/>
            </w:r>
            <w:r w:rsidRPr="00834BF0">
              <w:rPr>
                <w:rFonts w:cs="Times New Roman"/>
                <w:sz w:val="19"/>
                <w:szCs w:val="19"/>
              </w:rPr>
              <w:t xml:space="preserve">  </w:t>
            </w:r>
          </w:p>
          <w:p w14:paraId="0348863D" w14:textId="77777777" w:rsidR="00030303" w:rsidRPr="00834BF0" w:rsidRDefault="00030303" w:rsidP="00030303">
            <w:pPr>
              <w:rPr>
                <w:rFonts w:cs="Times New Roman"/>
                <w:sz w:val="19"/>
                <w:szCs w:val="19"/>
              </w:rPr>
            </w:pPr>
          </w:p>
        </w:tc>
        <w:tc>
          <w:tcPr>
            <w:tcW w:w="0" w:type="auto"/>
          </w:tcPr>
          <w:p w14:paraId="105272FB" w14:textId="77777777" w:rsidR="00030303" w:rsidRPr="00834BF0" w:rsidRDefault="00030303" w:rsidP="00030303">
            <w:pPr>
              <w:rPr>
                <w:rFonts w:cs="Times New Roman"/>
                <w:sz w:val="19"/>
                <w:szCs w:val="19"/>
              </w:rPr>
            </w:pPr>
            <w:r w:rsidRPr="00834BF0">
              <w:rPr>
                <w:rFonts w:cs="Times New Roman"/>
                <w:sz w:val="19"/>
                <w:szCs w:val="19"/>
              </w:rPr>
              <w:lastRenderedPageBreak/>
              <w:t xml:space="preserve">Part 2 of the </w:t>
            </w:r>
            <w:r w:rsidRPr="00834BF0">
              <w:rPr>
                <w:rFonts w:cs="Times New Roman"/>
                <w:i/>
                <w:sz w:val="19"/>
                <w:szCs w:val="19"/>
              </w:rPr>
              <w:t xml:space="preserve">Guardianship and Administration </w:t>
            </w:r>
            <w:r w:rsidRPr="00834BF0">
              <w:rPr>
                <w:rFonts w:cs="Times New Roman"/>
                <w:i/>
                <w:sz w:val="19"/>
                <w:szCs w:val="19"/>
              </w:rPr>
              <w:lastRenderedPageBreak/>
              <w:t xml:space="preserve">Act 2019 </w:t>
            </w:r>
            <w:r w:rsidRPr="00834BF0">
              <w:rPr>
                <w:rFonts w:cs="Times New Roman"/>
                <w:sz w:val="19"/>
                <w:szCs w:val="19"/>
              </w:rPr>
              <w:t xml:space="preserve">(Vic) makes provision for the role of the Public Advocate, a statutory office established to perform certain safeguarding functions in relation to people with disability. </w:t>
            </w:r>
          </w:p>
          <w:p w14:paraId="4611D017" w14:textId="77777777" w:rsidR="00030303" w:rsidRPr="00834BF0" w:rsidRDefault="00030303" w:rsidP="00030303">
            <w:pPr>
              <w:numPr>
                <w:ilvl w:val="0"/>
                <w:numId w:val="14"/>
              </w:numPr>
              <w:spacing w:after="0" w:line="240" w:lineRule="auto"/>
              <w:rPr>
                <w:rFonts w:cs="Times New Roman"/>
                <w:sz w:val="19"/>
                <w:szCs w:val="19"/>
              </w:rPr>
            </w:pPr>
            <w:r w:rsidRPr="00834BF0">
              <w:rPr>
                <w:rFonts w:cs="Times New Roman"/>
                <w:sz w:val="19"/>
                <w:szCs w:val="19"/>
              </w:rPr>
              <w:t xml:space="preserve">The Public Advocate may be appointed as a guardian or administrator for a person, and exercises certain other </w:t>
            </w:r>
            <w:r w:rsidRPr="00834BF0">
              <w:rPr>
                <w:sz w:val="19"/>
                <w:szCs w:val="19"/>
              </w:rPr>
              <w:t>supervisory</w:t>
            </w:r>
            <w:r w:rsidRPr="00834BF0">
              <w:rPr>
                <w:rFonts w:cs="Times New Roman"/>
                <w:sz w:val="19"/>
                <w:szCs w:val="19"/>
              </w:rPr>
              <w:t xml:space="preserve"> and investigative powers in respect of other </w:t>
            </w:r>
            <w:r w:rsidRPr="00834BF0">
              <w:rPr>
                <w:rFonts w:cs="Times New Roman"/>
                <w:sz w:val="19"/>
                <w:szCs w:val="19"/>
              </w:rPr>
              <w:lastRenderedPageBreak/>
              <w:t>guardians and administrators.</w:t>
            </w:r>
            <w:r w:rsidRPr="00834BF0">
              <w:rPr>
                <w:rFonts w:ascii="Arial" w:hAnsi="Arial" w:cs="Arial"/>
                <w:sz w:val="19"/>
                <w:szCs w:val="19"/>
                <w:vertAlign w:val="superscript"/>
              </w:rPr>
              <w:footnoteReference w:id="184"/>
            </w:r>
            <w:r w:rsidRPr="00834BF0">
              <w:rPr>
                <w:rFonts w:cs="Times New Roman"/>
                <w:sz w:val="19"/>
                <w:szCs w:val="19"/>
              </w:rPr>
              <w:t xml:space="preserve"> The Public Advocate has powers in respect of certain premises in which people with disability may reside, such as residential facilities under the </w:t>
            </w:r>
            <w:r w:rsidRPr="00834BF0">
              <w:rPr>
                <w:rFonts w:cs="Times New Roman"/>
                <w:i/>
                <w:sz w:val="19"/>
                <w:szCs w:val="19"/>
              </w:rPr>
              <w:t xml:space="preserve">Disability Act 2006 </w:t>
            </w:r>
            <w:r w:rsidRPr="00834BF0">
              <w:rPr>
                <w:rFonts w:cs="Times New Roman"/>
                <w:sz w:val="19"/>
                <w:szCs w:val="19"/>
              </w:rPr>
              <w:t>(Vic), mental health services, specialist disability accommodation under the NDIS, and supported residential services.</w:t>
            </w:r>
            <w:r w:rsidRPr="00834BF0">
              <w:rPr>
                <w:rFonts w:cs="Times New Roman"/>
                <w:sz w:val="19"/>
                <w:szCs w:val="19"/>
                <w:vertAlign w:val="superscript"/>
              </w:rPr>
              <w:footnoteReference w:id="185"/>
            </w:r>
          </w:p>
        </w:tc>
        <w:tc>
          <w:tcPr>
            <w:tcW w:w="0" w:type="auto"/>
          </w:tcPr>
          <w:p w14:paraId="3468E915" w14:textId="77777777" w:rsidR="00030303" w:rsidRPr="00834BF0" w:rsidRDefault="00030303" w:rsidP="00030303">
            <w:pPr>
              <w:numPr>
                <w:ilvl w:val="0"/>
                <w:numId w:val="14"/>
              </w:numPr>
              <w:spacing w:after="0" w:line="240" w:lineRule="auto"/>
              <w:rPr>
                <w:rFonts w:cs="Times New Roman"/>
                <w:sz w:val="19"/>
                <w:szCs w:val="19"/>
              </w:rPr>
            </w:pPr>
            <w:r w:rsidRPr="00834BF0">
              <w:rPr>
                <w:rFonts w:cs="Times New Roman"/>
                <w:sz w:val="19"/>
                <w:szCs w:val="19"/>
              </w:rPr>
              <w:lastRenderedPageBreak/>
              <w:t xml:space="preserve">Part 8 of the </w:t>
            </w:r>
            <w:r w:rsidRPr="00834BF0">
              <w:rPr>
                <w:rFonts w:cs="Times New Roman"/>
                <w:i/>
                <w:sz w:val="19"/>
                <w:szCs w:val="19"/>
              </w:rPr>
              <w:t xml:space="preserve">Guardianship and </w:t>
            </w:r>
            <w:r w:rsidRPr="00834BF0">
              <w:rPr>
                <w:rFonts w:cs="Times New Roman"/>
                <w:i/>
                <w:sz w:val="19"/>
                <w:szCs w:val="19"/>
              </w:rPr>
              <w:lastRenderedPageBreak/>
              <w:t>Administration Act 1990</w:t>
            </w:r>
            <w:r w:rsidRPr="00834BF0">
              <w:rPr>
                <w:rFonts w:cs="Times New Roman"/>
                <w:sz w:val="19"/>
                <w:szCs w:val="19"/>
              </w:rPr>
              <w:t xml:space="preserve"> (WA) establishes the office of the Public Advocate.</w:t>
            </w:r>
            <w:r w:rsidRPr="00834BF0">
              <w:rPr>
                <w:rFonts w:ascii="Arial" w:hAnsi="Arial" w:cs="Arial"/>
                <w:sz w:val="19"/>
                <w:szCs w:val="19"/>
                <w:vertAlign w:val="superscript"/>
              </w:rPr>
              <w:footnoteReference w:id="186"/>
            </w:r>
            <w:r w:rsidRPr="00834BF0">
              <w:rPr>
                <w:rFonts w:cs="Times New Roman"/>
                <w:sz w:val="19"/>
                <w:szCs w:val="19"/>
              </w:rPr>
              <w:t xml:space="preserve"> The Public Advocate performs a range of functions in relation to people with impaired decision-making capacity in the field of guardianship and administration, including: </w:t>
            </w:r>
          </w:p>
          <w:p w14:paraId="37C2A598" w14:textId="77777777" w:rsidR="00030303" w:rsidRPr="00834BF0" w:rsidRDefault="00030303" w:rsidP="00030303">
            <w:pPr>
              <w:numPr>
                <w:ilvl w:val="4"/>
                <w:numId w:val="14"/>
              </w:numPr>
              <w:spacing w:after="0" w:line="240" w:lineRule="auto"/>
              <w:rPr>
                <w:rFonts w:cs="Times New Roman"/>
                <w:sz w:val="19"/>
                <w:szCs w:val="19"/>
              </w:rPr>
            </w:pPr>
            <w:r w:rsidRPr="00834BF0">
              <w:rPr>
                <w:rFonts w:cs="Times New Roman"/>
                <w:sz w:val="19"/>
                <w:szCs w:val="19"/>
              </w:rPr>
              <w:t xml:space="preserve">investigating complaints or allegations </w:t>
            </w:r>
            <w:r w:rsidRPr="00834BF0">
              <w:rPr>
                <w:rFonts w:cs="Times New Roman"/>
                <w:sz w:val="19"/>
                <w:szCs w:val="19"/>
              </w:rPr>
              <w:lastRenderedPageBreak/>
              <w:t xml:space="preserve">that a person </w:t>
            </w:r>
            <w:proofErr w:type="gramStart"/>
            <w:r w:rsidRPr="00834BF0">
              <w:rPr>
                <w:rFonts w:cs="Times New Roman"/>
                <w:sz w:val="19"/>
                <w:szCs w:val="19"/>
              </w:rPr>
              <w:t>is in need of</w:t>
            </w:r>
            <w:proofErr w:type="gramEnd"/>
            <w:r w:rsidRPr="00834BF0">
              <w:rPr>
                <w:rFonts w:cs="Times New Roman"/>
                <w:sz w:val="19"/>
                <w:szCs w:val="19"/>
              </w:rPr>
              <w:t xml:space="preserve"> a guardian or administrator, or is under </w:t>
            </w:r>
            <w:r w:rsidRPr="00834BF0">
              <w:rPr>
                <w:rFonts w:eastAsia="Times New Roman"/>
                <w:sz w:val="19"/>
                <w:szCs w:val="19"/>
                <w:lang w:eastAsia="en-AU"/>
              </w:rPr>
              <w:t>inappropriate</w:t>
            </w:r>
            <w:r w:rsidRPr="00834BF0">
              <w:rPr>
                <w:rFonts w:cs="Times New Roman"/>
                <w:sz w:val="19"/>
                <w:szCs w:val="19"/>
              </w:rPr>
              <w:t xml:space="preserve"> guardianship or administration; and</w:t>
            </w:r>
          </w:p>
          <w:p w14:paraId="41577F53" w14:textId="77777777" w:rsidR="00030303" w:rsidRPr="00834BF0" w:rsidRDefault="00030303" w:rsidP="00030303">
            <w:pPr>
              <w:numPr>
                <w:ilvl w:val="4"/>
                <w:numId w:val="14"/>
              </w:numPr>
              <w:spacing w:after="0" w:line="240" w:lineRule="auto"/>
              <w:rPr>
                <w:rFonts w:cs="Times New Roman"/>
                <w:sz w:val="19"/>
                <w:szCs w:val="19"/>
              </w:rPr>
            </w:pPr>
            <w:r w:rsidRPr="00834BF0">
              <w:rPr>
                <w:rFonts w:cs="Times New Roman"/>
                <w:sz w:val="19"/>
                <w:szCs w:val="19"/>
              </w:rPr>
              <w:t>seeking assistance on behalf of any person subject to a guardianship or administration order or application (</w:t>
            </w:r>
            <w:proofErr w:type="spellStart"/>
            <w:r w:rsidRPr="00834BF0">
              <w:rPr>
                <w:rFonts w:cs="Times New Roman"/>
                <w:sz w:val="19"/>
                <w:szCs w:val="19"/>
              </w:rPr>
              <w:t>eg</w:t>
            </w:r>
            <w:proofErr w:type="spellEnd"/>
            <w:r w:rsidRPr="00834BF0">
              <w:rPr>
                <w:rFonts w:cs="Times New Roman"/>
                <w:sz w:val="19"/>
                <w:szCs w:val="19"/>
              </w:rPr>
              <w:t xml:space="preserve">, assistance from government or a service provider), or arranging legal </w:t>
            </w:r>
            <w:r w:rsidRPr="00834BF0">
              <w:rPr>
                <w:rFonts w:cs="Times New Roman"/>
                <w:sz w:val="19"/>
                <w:szCs w:val="19"/>
              </w:rPr>
              <w:lastRenderedPageBreak/>
              <w:t>representation for the person.</w:t>
            </w:r>
            <w:r w:rsidRPr="00834BF0">
              <w:rPr>
                <w:rFonts w:ascii="Arial" w:hAnsi="Arial" w:cs="Arial"/>
                <w:sz w:val="19"/>
                <w:szCs w:val="19"/>
                <w:vertAlign w:val="superscript"/>
              </w:rPr>
              <w:footnoteReference w:id="187"/>
            </w:r>
            <w:r w:rsidRPr="00834BF0">
              <w:rPr>
                <w:rFonts w:cs="Times New Roman"/>
                <w:sz w:val="19"/>
                <w:szCs w:val="19"/>
              </w:rPr>
              <w:t xml:space="preserve"> </w:t>
            </w:r>
          </w:p>
          <w:p w14:paraId="54BC7B74" w14:textId="77777777" w:rsidR="00030303" w:rsidRPr="00834BF0" w:rsidRDefault="00030303" w:rsidP="00030303">
            <w:pPr>
              <w:rPr>
                <w:rFonts w:cs="Times New Roman"/>
                <w:sz w:val="19"/>
                <w:szCs w:val="19"/>
              </w:rPr>
            </w:pPr>
            <w:r w:rsidRPr="00834BF0">
              <w:rPr>
                <w:rFonts w:cs="Times New Roman"/>
                <w:sz w:val="19"/>
                <w:szCs w:val="19"/>
              </w:rPr>
              <w:t>The Public Advocate may do all things necessary or convenient to be done for or in connection with the performance of those functions,</w:t>
            </w:r>
            <w:r w:rsidRPr="00834BF0">
              <w:rPr>
                <w:rFonts w:ascii="Arial" w:hAnsi="Arial" w:cs="Arial"/>
                <w:sz w:val="19"/>
                <w:szCs w:val="19"/>
                <w:vertAlign w:val="superscript"/>
              </w:rPr>
              <w:footnoteReference w:id="188"/>
            </w:r>
            <w:r w:rsidRPr="00834BF0">
              <w:rPr>
                <w:rFonts w:cs="Times New Roman"/>
                <w:sz w:val="19"/>
                <w:szCs w:val="19"/>
              </w:rPr>
              <w:t xml:space="preserve"> and may raise or report to the Minister on any concerns arising out of those matters.</w:t>
            </w:r>
            <w:r w:rsidRPr="00834BF0">
              <w:rPr>
                <w:rFonts w:ascii="Arial" w:hAnsi="Arial" w:cs="Arial"/>
                <w:sz w:val="19"/>
                <w:szCs w:val="19"/>
                <w:vertAlign w:val="superscript"/>
              </w:rPr>
              <w:footnoteReference w:id="189"/>
            </w:r>
            <w:r w:rsidRPr="00834BF0">
              <w:rPr>
                <w:rFonts w:cs="Times New Roman"/>
                <w:sz w:val="19"/>
                <w:szCs w:val="19"/>
              </w:rPr>
              <w:t xml:space="preserve"> On request by the </w:t>
            </w:r>
            <w:r w:rsidRPr="00834BF0">
              <w:rPr>
                <w:rFonts w:cs="Times New Roman"/>
                <w:sz w:val="19"/>
                <w:szCs w:val="19"/>
              </w:rPr>
              <w:lastRenderedPageBreak/>
              <w:t>Public Advocate, the Minister must table a report of such a matter in parliament.</w:t>
            </w:r>
            <w:r w:rsidRPr="00834BF0">
              <w:rPr>
                <w:rFonts w:ascii="Arial" w:hAnsi="Arial" w:cs="Arial"/>
                <w:sz w:val="19"/>
                <w:szCs w:val="19"/>
                <w:vertAlign w:val="superscript"/>
              </w:rPr>
              <w:footnoteReference w:id="190"/>
            </w:r>
          </w:p>
          <w:p w14:paraId="5DD8E4FC" w14:textId="77777777" w:rsidR="00030303" w:rsidRPr="00834BF0" w:rsidRDefault="00030303" w:rsidP="00030303">
            <w:pPr>
              <w:rPr>
                <w:rFonts w:cs="Times New Roman"/>
                <w:sz w:val="19"/>
                <w:szCs w:val="19"/>
              </w:rPr>
            </w:pPr>
          </w:p>
        </w:tc>
      </w:tr>
      <w:tr w:rsidR="00030303" w:rsidRPr="00834BF0" w14:paraId="4DF4B29F" w14:textId="77777777" w:rsidTr="00030303">
        <w:tc>
          <w:tcPr>
            <w:tcW w:w="0" w:type="auto"/>
          </w:tcPr>
          <w:p w14:paraId="6CE443B1" w14:textId="77777777" w:rsidR="00030303" w:rsidRPr="00834BF0" w:rsidRDefault="00030303" w:rsidP="00030303">
            <w:pPr>
              <w:rPr>
                <w:rFonts w:cs="Times New Roman"/>
                <w:b/>
                <w:sz w:val="19"/>
                <w:szCs w:val="19"/>
              </w:rPr>
            </w:pPr>
            <w:r w:rsidRPr="00834BF0">
              <w:rPr>
                <w:rFonts w:cs="Times New Roman"/>
                <w:b/>
                <w:sz w:val="19"/>
                <w:szCs w:val="19"/>
              </w:rPr>
              <w:lastRenderedPageBreak/>
              <w:t>Community visitor</w:t>
            </w:r>
          </w:p>
        </w:tc>
        <w:tc>
          <w:tcPr>
            <w:tcW w:w="0" w:type="auto"/>
          </w:tcPr>
          <w:p w14:paraId="0C05DA49" w14:textId="77777777" w:rsidR="00030303" w:rsidRPr="00834BF0" w:rsidRDefault="00030303" w:rsidP="00030303">
            <w:pPr>
              <w:numPr>
                <w:ilvl w:val="0"/>
                <w:numId w:val="14"/>
              </w:numPr>
              <w:spacing w:after="0" w:line="240" w:lineRule="auto"/>
              <w:rPr>
                <w:rFonts w:cs="Times New Roman"/>
                <w:sz w:val="19"/>
                <w:szCs w:val="19"/>
              </w:rPr>
            </w:pPr>
            <w:bookmarkStart w:id="39" w:name="_Ref50552385"/>
            <w:r w:rsidRPr="00834BF0">
              <w:rPr>
                <w:rFonts w:cs="Times New Roman"/>
                <w:sz w:val="19"/>
                <w:szCs w:val="19"/>
              </w:rPr>
              <w:t xml:space="preserve">The official visitor scheme for the ACT is established under the </w:t>
            </w:r>
            <w:r w:rsidRPr="00834BF0">
              <w:rPr>
                <w:rFonts w:cs="Times New Roman"/>
                <w:i/>
                <w:sz w:val="19"/>
                <w:szCs w:val="19"/>
              </w:rPr>
              <w:t xml:space="preserve">Official Visitor Act 2012 </w:t>
            </w:r>
            <w:r w:rsidRPr="00834BF0">
              <w:rPr>
                <w:rFonts w:cs="Times New Roman"/>
                <w:sz w:val="19"/>
                <w:szCs w:val="19"/>
              </w:rPr>
              <w:t xml:space="preserve">(ACT). This sets out the broad framework for the appointment of official visitors by the Minister, while other pieces of legislation specify visitable places. Relevantly, Part 3 of the </w:t>
            </w:r>
            <w:r w:rsidRPr="00834BF0">
              <w:rPr>
                <w:rFonts w:cs="Times New Roman"/>
                <w:i/>
                <w:sz w:val="19"/>
                <w:szCs w:val="19"/>
              </w:rPr>
              <w:t xml:space="preserve">Disability Services Act 1991 </w:t>
            </w:r>
            <w:r w:rsidRPr="00834BF0">
              <w:rPr>
                <w:rFonts w:cs="Times New Roman"/>
                <w:sz w:val="19"/>
                <w:szCs w:val="19"/>
              </w:rPr>
              <w:t xml:space="preserve">(ACT) extends the scheme to places </w:t>
            </w:r>
            <w:r w:rsidRPr="00834BF0">
              <w:rPr>
                <w:rFonts w:cs="Times New Roman"/>
                <w:sz w:val="19"/>
                <w:szCs w:val="19"/>
              </w:rPr>
              <w:lastRenderedPageBreak/>
              <w:t>used to provide accommodation to people with disability for respite or long-term residential purposes. This includes:</w:t>
            </w:r>
            <w:bookmarkEnd w:id="39"/>
          </w:p>
          <w:p w14:paraId="5793D518" w14:textId="77777777" w:rsidR="00030303" w:rsidRPr="00834BF0" w:rsidRDefault="00030303" w:rsidP="00030303">
            <w:pPr>
              <w:numPr>
                <w:ilvl w:val="4"/>
                <w:numId w:val="14"/>
              </w:numPr>
              <w:spacing w:after="0" w:line="240" w:lineRule="auto"/>
              <w:rPr>
                <w:rFonts w:cs="Times New Roman"/>
                <w:sz w:val="19"/>
                <w:szCs w:val="19"/>
              </w:rPr>
            </w:pPr>
            <w:r w:rsidRPr="00834BF0">
              <w:rPr>
                <w:rFonts w:cs="Times New Roman"/>
                <w:sz w:val="19"/>
                <w:szCs w:val="19"/>
              </w:rPr>
              <w:t>accommodation owned, rented or operated by a specialist disability service provider;</w:t>
            </w:r>
          </w:p>
          <w:p w14:paraId="5D62EADC" w14:textId="77777777" w:rsidR="00030303" w:rsidRPr="00834BF0" w:rsidRDefault="00030303" w:rsidP="00030303">
            <w:pPr>
              <w:numPr>
                <w:ilvl w:val="4"/>
                <w:numId w:val="14"/>
              </w:numPr>
              <w:spacing w:after="0" w:line="240" w:lineRule="auto"/>
              <w:rPr>
                <w:rFonts w:cs="Times New Roman"/>
                <w:sz w:val="19"/>
                <w:szCs w:val="19"/>
              </w:rPr>
            </w:pPr>
            <w:r w:rsidRPr="00834BF0">
              <w:rPr>
                <w:rFonts w:cs="Times New Roman"/>
                <w:sz w:val="19"/>
                <w:szCs w:val="19"/>
              </w:rPr>
              <w:t>accommodation at which a specialist disability service provider provides a specialist disability service; and</w:t>
            </w:r>
          </w:p>
          <w:p w14:paraId="36D8DE67" w14:textId="77777777" w:rsidR="00030303" w:rsidRPr="00834BF0" w:rsidRDefault="00030303" w:rsidP="00030303">
            <w:pPr>
              <w:numPr>
                <w:ilvl w:val="4"/>
                <w:numId w:val="14"/>
              </w:numPr>
              <w:spacing w:after="0" w:line="240" w:lineRule="auto"/>
              <w:rPr>
                <w:rFonts w:cs="Times New Roman"/>
                <w:sz w:val="19"/>
                <w:szCs w:val="19"/>
              </w:rPr>
            </w:pPr>
            <w:r w:rsidRPr="00834BF0">
              <w:rPr>
                <w:rFonts w:cs="Times New Roman"/>
                <w:sz w:val="19"/>
                <w:szCs w:val="19"/>
              </w:rPr>
              <w:t>a residential aged care facility that accommodate</w:t>
            </w:r>
            <w:r w:rsidRPr="00834BF0">
              <w:rPr>
                <w:rFonts w:cs="Times New Roman"/>
                <w:sz w:val="19"/>
                <w:szCs w:val="19"/>
              </w:rPr>
              <w:lastRenderedPageBreak/>
              <w:t>s a person with disability.</w:t>
            </w:r>
            <w:r w:rsidRPr="00834BF0">
              <w:rPr>
                <w:rFonts w:cs="Times New Roman"/>
                <w:sz w:val="19"/>
                <w:szCs w:val="19"/>
                <w:vertAlign w:val="superscript"/>
              </w:rPr>
              <w:footnoteReference w:id="191"/>
            </w:r>
          </w:p>
          <w:p w14:paraId="38D8DF26" w14:textId="77777777" w:rsidR="00030303" w:rsidRPr="00834BF0" w:rsidRDefault="00030303" w:rsidP="00030303">
            <w:pPr>
              <w:rPr>
                <w:rFonts w:cs="Times New Roman"/>
                <w:sz w:val="19"/>
                <w:szCs w:val="19"/>
              </w:rPr>
            </w:pPr>
            <w:r w:rsidRPr="00834BF0">
              <w:rPr>
                <w:rFonts w:cs="Times New Roman"/>
                <w:sz w:val="19"/>
                <w:szCs w:val="19"/>
              </w:rPr>
              <w:t>These provisions appear capable of applying to specialist disability accommodation under the NDIS, and other premises at which a range of NDIS services are provided.</w:t>
            </w:r>
            <w:r w:rsidRPr="00834BF0">
              <w:rPr>
                <w:rFonts w:ascii="Arial" w:hAnsi="Arial" w:cs="Arial"/>
                <w:sz w:val="19"/>
                <w:szCs w:val="19"/>
                <w:vertAlign w:val="superscript"/>
              </w:rPr>
              <w:footnoteReference w:id="192"/>
            </w:r>
            <w:r w:rsidRPr="00834BF0">
              <w:rPr>
                <w:rFonts w:cs="Times New Roman"/>
                <w:sz w:val="19"/>
                <w:szCs w:val="19"/>
              </w:rPr>
              <w:t xml:space="preserve"> </w:t>
            </w:r>
          </w:p>
          <w:p w14:paraId="72F58473" w14:textId="77777777" w:rsidR="00030303" w:rsidRPr="00834BF0" w:rsidRDefault="00030303" w:rsidP="00030303">
            <w:pPr>
              <w:rPr>
                <w:rFonts w:cs="Times New Roman"/>
                <w:sz w:val="19"/>
                <w:szCs w:val="19"/>
              </w:rPr>
            </w:pPr>
            <w:r w:rsidRPr="00834BF0">
              <w:rPr>
                <w:rFonts w:cs="Times New Roman"/>
                <w:sz w:val="19"/>
                <w:szCs w:val="19"/>
              </w:rPr>
              <w:t xml:space="preserve">The functions of official visitors in relation to </w:t>
            </w:r>
            <w:r w:rsidRPr="00834BF0">
              <w:rPr>
                <w:rFonts w:cs="Times New Roman"/>
                <w:sz w:val="19"/>
                <w:szCs w:val="19"/>
              </w:rPr>
              <w:lastRenderedPageBreak/>
              <w:t>visitable places include:</w:t>
            </w:r>
          </w:p>
          <w:p w14:paraId="4FE73333" w14:textId="77777777" w:rsidR="00030303" w:rsidRPr="00834BF0" w:rsidRDefault="00030303" w:rsidP="00030303">
            <w:pPr>
              <w:numPr>
                <w:ilvl w:val="4"/>
                <w:numId w:val="14"/>
              </w:numPr>
              <w:spacing w:after="0" w:line="240" w:lineRule="auto"/>
              <w:rPr>
                <w:rFonts w:cs="Times New Roman"/>
                <w:sz w:val="19"/>
                <w:szCs w:val="19"/>
                <w:lang w:val="en-GB"/>
              </w:rPr>
            </w:pPr>
            <w:r w:rsidRPr="00834BF0">
              <w:rPr>
                <w:rFonts w:cs="Times New Roman"/>
                <w:sz w:val="19"/>
                <w:szCs w:val="19"/>
                <w:lang w:val="en-GB"/>
              </w:rPr>
              <w:t>attending, and meeting people with disability at, those places;</w:t>
            </w:r>
          </w:p>
          <w:p w14:paraId="73A41C71" w14:textId="77777777" w:rsidR="00030303" w:rsidRPr="00834BF0" w:rsidRDefault="00030303" w:rsidP="00030303">
            <w:pPr>
              <w:numPr>
                <w:ilvl w:val="4"/>
                <w:numId w:val="14"/>
              </w:numPr>
              <w:spacing w:after="0" w:line="240" w:lineRule="auto"/>
              <w:rPr>
                <w:rFonts w:cs="Times New Roman"/>
                <w:sz w:val="19"/>
                <w:szCs w:val="19"/>
                <w:lang w:val="en-GB"/>
              </w:rPr>
            </w:pPr>
            <w:r w:rsidRPr="00834BF0">
              <w:rPr>
                <w:rFonts w:cs="Times New Roman"/>
                <w:sz w:val="19"/>
                <w:szCs w:val="19"/>
                <w:lang w:val="en-GB"/>
              </w:rPr>
              <w:t>monitoring conditions, services and practices;</w:t>
            </w:r>
          </w:p>
          <w:p w14:paraId="79E410FC" w14:textId="77777777" w:rsidR="00030303" w:rsidRPr="00834BF0" w:rsidRDefault="00030303" w:rsidP="00030303">
            <w:pPr>
              <w:numPr>
                <w:ilvl w:val="4"/>
                <w:numId w:val="14"/>
              </w:numPr>
              <w:spacing w:after="0" w:line="240" w:lineRule="auto"/>
              <w:rPr>
                <w:rFonts w:cs="Times New Roman"/>
                <w:sz w:val="19"/>
                <w:szCs w:val="19"/>
                <w:lang w:val="en-GB"/>
              </w:rPr>
            </w:pPr>
            <w:r w:rsidRPr="00834BF0">
              <w:rPr>
                <w:rFonts w:cs="Times New Roman"/>
                <w:sz w:val="19"/>
                <w:szCs w:val="19"/>
                <w:lang w:val="en-GB"/>
              </w:rPr>
              <w:t xml:space="preserve">investigating and seeking to resolve the complaints of people with disability (including by referring them to relevant entities);  </w:t>
            </w:r>
          </w:p>
          <w:p w14:paraId="3D6C9027" w14:textId="77777777" w:rsidR="00030303" w:rsidRPr="00834BF0" w:rsidRDefault="00030303" w:rsidP="00030303">
            <w:pPr>
              <w:numPr>
                <w:ilvl w:val="4"/>
                <w:numId w:val="14"/>
              </w:numPr>
              <w:spacing w:after="0" w:line="240" w:lineRule="auto"/>
              <w:rPr>
                <w:rFonts w:cs="Times New Roman"/>
                <w:sz w:val="19"/>
                <w:szCs w:val="19"/>
                <w:lang w:val="en-GB"/>
              </w:rPr>
            </w:pPr>
            <w:r w:rsidRPr="00834BF0">
              <w:rPr>
                <w:rFonts w:cs="Times New Roman"/>
                <w:sz w:val="19"/>
                <w:szCs w:val="19"/>
                <w:lang w:val="en-GB"/>
              </w:rPr>
              <w:t xml:space="preserve">identifying and reporting on systemic issues affecting </w:t>
            </w:r>
            <w:r w:rsidRPr="00834BF0">
              <w:rPr>
                <w:rFonts w:cs="Times New Roman"/>
                <w:sz w:val="19"/>
                <w:szCs w:val="19"/>
                <w:lang w:val="en-GB"/>
              </w:rPr>
              <w:lastRenderedPageBreak/>
              <w:t>people with disability at the relevant places; and</w:t>
            </w:r>
          </w:p>
          <w:p w14:paraId="08E304B5" w14:textId="77777777" w:rsidR="00030303" w:rsidRPr="00834BF0" w:rsidRDefault="00030303" w:rsidP="00030303">
            <w:pPr>
              <w:numPr>
                <w:ilvl w:val="4"/>
                <w:numId w:val="14"/>
              </w:numPr>
              <w:spacing w:after="0" w:line="240" w:lineRule="auto"/>
              <w:rPr>
                <w:rFonts w:cs="Times New Roman"/>
                <w:sz w:val="19"/>
                <w:szCs w:val="19"/>
                <w:lang w:val="en-GB"/>
              </w:rPr>
            </w:pPr>
            <w:r w:rsidRPr="00834BF0">
              <w:rPr>
                <w:rFonts w:cs="Times New Roman"/>
                <w:sz w:val="19"/>
                <w:szCs w:val="19"/>
                <w:lang w:val="en-GB"/>
              </w:rPr>
              <w:t>reporting to the relevant Minister for the place.</w:t>
            </w:r>
            <w:r w:rsidRPr="00834BF0">
              <w:rPr>
                <w:rFonts w:cs="Times New Roman"/>
                <w:sz w:val="19"/>
                <w:szCs w:val="19"/>
                <w:vertAlign w:val="superscript"/>
              </w:rPr>
              <w:footnoteReference w:id="193"/>
            </w:r>
            <w:r w:rsidRPr="00834BF0">
              <w:rPr>
                <w:rFonts w:cs="Times New Roman"/>
                <w:sz w:val="19"/>
                <w:szCs w:val="19"/>
              </w:rPr>
              <w:t xml:space="preserve"> </w:t>
            </w:r>
          </w:p>
          <w:p w14:paraId="083853BF" w14:textId="77777777" w:rsidR="00030303" w:rsidRPr="00834BF0" w:rsidRDefault="00030303" w:rsidP="00030303">
            <w:pPr>
              <w:rPr>
                <w:rFonts w:ascii="Arial" w:hAnsi="Arial" w:cs="Arial"/>
                <w:sz w:val="19"/>
                <w:szCs w:val="19"/>
                <w:lang w:val="en-GB" w:eastAsia="en-GB"/>
              </w:rPr>
            </w:pPr>
            <w:r w:rsidRPr="00834BF0">
              <w:rPr>
                <w:rFonts w:cs="Times New Roman"/>
                <w:sz w:val="19"/>
                <w:szCs w:val="19"/>
                <w:lang w:val="en-GB" w:eastAsia="en-GB"/>
              </w:rPr>
              <w:t xml:space="preserve">A </w:t>
            </w:r>
            <w:r w:rsidRPr="00834BF0">
              <w:rPr>
                <w:rFonts w:cs="Times New Roman"/>
                <w:sz w:val="19"/>
                <w:szCs w:val="19"/>
              </w:rPr>
              <w:t>complaint</w:t>
            </w:r>
            <w:r w:rsidRPr="00834BF0">
              <w:rPr>
                <w:rFonts w:cs="Times New Roman"/>
                <w:sz w:val="19"/>
                <w:szCs w:val="19"/>
                <w:lang w:val="en-GB" w:eastAsia="en-GB"/>
              </w:rPr>
              <w:t xml:space="preserve"> can be made to the official visitor about any aspect of a relevant person’s accommodation (including the care or services provided, and how the place is conducted).</w:t>
            </w:r>
            <w:r w:rsidRPr="00834BF0">
              <w:rPr>
                <w:rFonts w:ascii="Arial" w:hAnsi="Arial" w:cs="Arial"/>
                <w:sz w:val="19"/>
                <w:szCs w:val="19"/>
                <w:vertAlign w:val="superscript"/>
                <w:lang w:val="en-GB" w:eastAsia="en-GB"/>
              </w:rPr>
              <w:footnoteReference w:id="194"/>
            </w:r>
            <w:r w:rsidRPr="00834BF0">
              <w:rPr>
                <w:rFonts w:ascii="Arial" w:hAnsi="Arial" w:cs="Arial"/>
                <w:sz w:val="19"/>
                <w:szCs w:val="19"/>
                <w:lang w:val="en-GB" w:eastAsia="en-GB"/>
              </w:rPr>
              <w:t xml:space="preserve"> </w:t>
            </w:r>
          </w:p>
          <w:p w14:paraId="73F17E81" w14:textId="77777777" w:rsidR="00030303" w:rsidRPr="00834BF0" w:rsidRDefault="00030303" w:rsidP="00030303">
            <w:pPr>
              <w:rPr>
                <w:rFonts w:cs="Times New Roman"/>
                <w:sz w:val="19"/>
                <w:szCs w:val="19"/>
                <w:lang w:val="en-GB" w:eastAsia="en-GB"/>
              </w:rPr>
            </w:pPr>
            <w:r w:rsidRPr="00834BF0">
              <w:rPr>
                <w:rFonts w:cs="Times New Roman"/>
                <w:sz w:val="19"/>
                <w:szCs w:val="19"/>
                <w:lang w:val="en-GB" w:eastAsia="en-GB"/>
              </w:rPr>
              <w:t xml:space="preserve">Where an official visitor reasonably believes that a </w:t>
            </w:r>
            <w:proofErr w:type="spellStart"/>
            <w:r w:rsidRPr="00834BF0">
              <w:rPr>
                <w:rFonts w:cs="Times New Roman"/>
                <w:sz w:val="19"/>
                <w:szCs w:val="19"/>
                <w:lang w:val="en-GB" w:eastAsia="en-GB"/>
              </w:rPr>
              <w:t>visitable</w:t>
            </w:r>
            <w:proofErr w:type="spellEnd"/>
            <w:r w:rsidRPr="00834BF0">
              <w:rPr>
                <w:rFonts w:cs="Times New Roman"/>
                <w:sz w:val="19"/>
                <w:szCs w:val="19"/>
                <w:lang w:val="en-GB" w:eastAsia="en-GB"/>
              </w:rPr>
              <w:t xml:space="preserve"> place </w:t>
            </w:r>
            <w:r w:rsidRPr="00834BF0">
              <w:rPr>
                <w:rFonts w:cs="Times New Roman"/>
                <w:sz w:val="19"/>
                <w:szCs w:val="19"/>
                <w:lang w:val="en-GB" w:eastAsia="en-GB"/>
              </w:rPr>
              <w:lastRenderedPageBreak/>
              <w:t>does not comply with relevant governing legislation, they must report the matter to the relevant Minister (and may also report it to certain other relevant bodies).</w:t>
            </w:r>
            <w:r w:rsidRPr="00834BF0">
              <w:rPr>
                <w:rFonts w:cs="Times New Roman"/>
                <w:sz w:val="19"/>
                <w:szCs w:val="19"/>
                <w:vertAlign w:val="superscript"/>
                <w:lang w:val="en-GB" w:eastAsia="en-GB"/>
              </w:rPr>
              <w:footnoteReference w:id="195"/>
            </w:r>
          </w:p>
          <w:p w14:paraId="128F1CF1" w14:textId="77777777" w:rsidR="00030303" w:rsidRPr="00834BF0" w:rsidRDefault="00030303" w:rsidP="00030303">
            <w:pPr>
              <w:rPr>
                <w:rFonts w:cs="Times New Roman"/>
                <w:sz w:val="19"/>
                <w:szCs w:val="19"/>
              </w:rPr>
            </w:pPr>
          </w:p>
        </w:tc>
        <w:tc>
          <w:tcPr>
            <w:tcW w:w="0" w:type="auto"/>
          </w:tcPr>
          <w:p w14:paraId="1756099E" w14:textId="77777777" w:rsidR="00030303" w:rsidRPr="00834BF0" w:rsidRDefault="00030303" w:rsidP="00030303">
            <w:pPr>
              <w:rPr>
                <w:rFonts w:cs="Times New Roman"/>
                <w:sz w:val="19"/>
                <w:szCs w:val="19"/>
              </w:rPr>
            </w:pPr>
            <w:bookmarkStart w:id="40" w:name="_Ref46500021"/>
            <w:r w:rsidRPr="00834BF0">
              <w:rPr>
                <w:rFonts w:cs="Times New Roman"/>
                <w:sz w:val="19"/>
                <w:szCs w:val="19"/>
              </w:rPr>
              <w:lastRenderedPageBreak/>
              <w:t xml:space="preserve">Part 4 of the </w:t>
            </w:r>
            <w:r w:rsidRPr="00834BF0">
              <w:rPr>
                <w:rFonts w:cs="Times New Roman"/>
                <w:i/>
                <w:sz w:val="19"/>
                <w:szCs w:val="19"/>
              </w:rPr>
              <w:t>Ageing and Disability Commissioner Act 2019</w:t>
            </w:r>
            <w:r w:rsidRPr="00834BF0">
              <w:rPr>
                <w:rFonts w:cs="Times New Roman"/>
                <w:sz w:val="19"/>
                <w:szCs w:val="19"/>
              </w:rPr>
              <w:t xml:space="preserve"> (NSW) establishes an Official Community Visitor scheme, and provides for the Minister to appoint appropriately qualified community visitors for 3-year terms.</w:t>
            </w:r>
            <w:r w:rsidRPr="00834BF0">
              <w:rPr>
                <w:rFonts w:cs="Times New Roman"/>
                <w:sz w:val="19"/>
                <w:szCs w:val="19"/>
                <w:vertAlign w:val="superscript"/>
              </w:rPr>
              <w:footnoteReference w:id="196"/>
            </w:r>
            <w:bookmarkEnd w:id="40"/>
            <w:r w:rsidRPr="00834BF0">
              <w:rPr>
                <w:rFonts w:cs="Times New Roman"/>
                <w:sz w:val="19"/>
                <w:szCs w:val="19"/>
              </w:rPr>
              <w:t xml:space="preserve"> </w:t>
            </w:r>
          </w:p>
          <w:p w14:paraId="5ABBB17D" w14:textId="77777777" w:rsidR="00030303" w:rsidRPr="00834BF0" w:rsidRDefault="00030303" w:rsidP="00030303">
            <w:pPr>
              <w:rPr>
                <w:rFonts w:cs="Times New Roman"/>
                <w:sz w:val="19"/>
                <w:szCs w:val="19"/>
              </w:rPr>
            </w:pPr>
            <w:r w:rsidRPr="00834BF0">
              <w:rPr>
                <w:rFonts w:cs="Times New Roman"/>
                <w:sz w:val="19"/>
                <w:szCs w:val="19"/>
              </w:rPr>
              <w:lastRenderedPageBreak/>
              <w:t>Community visitors have a range of powers in relation to premises at which ‘visitable services’ are provided. A ‘visitable service’ is:</w:t>
            </w:r>
          </w:p>
          <w:p w14:paraId="6D94E000" w14:textId="77777777" w:rsidR="00030303" w:rsidRPr="00834BF0" w:rsidRDefault="00030303" w:rsidP="00030303">
            <w:pPr>
              <w:numPr>
                <w:ilvl w:val="0"/>
                <w:numId w:val="20"/>
              </w:numPr>
              <w:tabs>
                <w:tab w:val="num" w:pos="369"/>
              </w:tabs>
              <w:spacing w:after="0" w:line="240" w:lineRule="auto"/>
              <w:ind w:left="369" w:hanging="284"/>
              <w:contextualSpacing/>
              <w:rPr>
                <w:rFonts w:cs="Times New Roman"/>
                <w:sz w:val="19"/>
                <w:szCs w:val="19"/>
                <w:lang w:val="en-GB"/>
              </w:rPr>
            </w:pPr>
            <w:r w:rsidRPr="00834BF0">
              <w:rPr>
                <w:rFonts w:cs="Times New Roman"/>
                <w:sz w:val="19"/>
                <w:szCs w:val="19"/>
                <w:lang w:val="en-GB"/>
              </w:rPr>
              <w:t xml:space="preserve">an </w:t>
            </w:r>
            <w:r w:rsidRPr="00834BF0">
              <w:rPr>
                <w:rFonts w:cs="Times New Roman"/>
                <w:sz w:val="19"/>
                <w:szCs w:val="19"/>
              </w:rPr>
              <w:t>accommodation</w:t>
            </w:r>
            <w:r w:rsidRPr="00834BF0">
              <w:rPr>
                <w:rFonts w:cs="Times New Roman"/>
                <w:sz w:val="19"/>
                <w:szCs w:val="19"/>
                <w:lang w:val="en-GB"/>
              </w:rPr>
              <w:t xml:space="preserve"> service where an adult with disability using the service is in the full-time care of the service provider; or</w:t>
            </w:r>
          </w:p>
          <w:p w14:paraId="036246CE" w14:textId="77777777" w:rsidR="00030303" w:rsidRPr="00834BF0" w:rsidRDefault="00030303" w:rsidP="00030303">
            <w:pPr>
              <w:numPr>
                <w:ilvl w:val="0"/>
                <w:numId w:val="20"/>
              </w:numPr>
              <w:tabs>
                <w:tab w:val="num" w:pos="369"/>
              </w:tabs>
              <w:spacing w:after="0" w:line="240" w:lineRule="auto"/>
              <w:ind w:left="369" w:hanging="284"/>
              <w:contextualSpacing/>
              <w:rPr>
                <w:rFonts w:cs="Times New Roman"/>
                <w:sz w:val="19"/>
                <w:szCs w:val="19"/>
                <w:lang w:val="en-GB"/>
              </w:rPr>
            </w:pPr>
            <w:r w:rsidRPr="00834BF0">
              <w:rPr>
                <w:rFonts w:cs="Times New Roman"/>
                <w:sz w:val="19"/>
                <w:szCs w:val="19"/>
                <w:lang w:val="en-GB"/>
              </w:rPr>
              <w:t xml:space="preserve">an </w:t>
            </w:r>
            <w:r w:rsidRPr="00834BF0">
              <w:rPr>
                <w:rFonts w:cs="Times New Roman"/>
                <w:sz w:val="19"/>
                <w:szCs w:val="19"/>
              </w:rPr>
              <w:t>assisted</w:t>
            </w:r>
            <w:r w:rsidRPr="00834BF0">
              <w:rPr>
                <w:rFonts w:cs="Times New Roman"/>
                <w:sz w:val="19"/>
                <w:szCs w:val="19"/>
                <w:lang w:val="en-GB"/>
              </w:rPr>
              <w:t xml:space="preserve"> boarding </w:t>
            </w:r>
            <w:proofErr w:type="gramStart"/>
            <w:r w:rsidRPr="00834BF0">
              <w:rPr>
                <w:rFonts w:cs="Times New Roman"/>
                <w:sz w:val="19"/>
                <w:szCs w:val="19"/>
                <w:lang w:val="en-GB"/>
              </w:rPr>
              <w:t>house</w:t>
            </w:r>
            <w:proofErr w:type="gramEnd"/>
            <w:r w:rsidRPr="00834BF0">
              <w:rPr>
                <w:rFonts w:cs="Times New Roman"/>
                <w:sz w:val="19"/>
                <w:szCs w:val="19"/>
                <w:lang w:val="en-GB"/>
              </w:rPr>
              <w:t>.</w:t>
            </w:r>
          </w:p>
          <w:p w14:paraId="6C430867" w14:textId="77777777" w:rsidR="00030303" w:rsidRPr="00834BF0" w:rsidRDefault="00030303" w:rsidP="00030303">
            <w:pPr>
              <w:rPr>
                <w:rFonts w:cs="Times New Roman"/>
                <w:sz w:val="19"/>
                <w:szCs w:val="19"/>
                <w:lang w:val="en-GB" w:eastAsia="en-GB"/>
              </w:rPr>
            </w:pPr>
            <w:r w:rsidRPr="00834BF0">
              <w:rPr>
                <w:rFonts w:cs="Times New Roman"/>
                <w:sz w:val="19"/>
                <w:szCs w:val="19"/>
                <w:lang w:val="en-GB"/>
              </w:rPr>
              <w:t xml:space="preserve">‘Service provider’ includes the Minister, </w:t>
            </w:r>
            <w:r w:rsidRPr="00834BF0">
              <w:rPr>
                <w:rFonts w:cs="Times New Roman"/>
                <w:sz w:val="19"/>
                <w:szCs w:val="19"/>
                <w:lang w:val="en-GB"/>
              </w:rPr>
              <w:lastRenderedPageBreak/>
              <w:t>accommodation providers funded by the Minister, the owner or occupier of an assisted boarding house, and NDIS providers delivering supports and services under an NDIS participant’s plan (other than providers of residential aged care).</w:t>
            </w:r>
            <w:r w:rsidRPr="00834BF0">
              <w:rPr>
                <w:rFonts w:cs="Times New Roman"/>
                <w:sz w:val="19"/>
                <w:szCs w:val="19"/>
                <w:vertAlign w:val="superscript"/>
                <w:lang w:val="en-GB"/>
              </w:rPr>
              <w:footnoteReference w:id="197"/>
            </w:r>
            <w:r w:rsidRPr="00834BF0">
              <w:rPr>
                <w:rFonts w:cs="Times New Roman"/>
                <w:sz w:val="19"/>
                <w:szCs w:val="19"/>
                <w:lang w:val="en-GB" w:eastAsia="en-GB"/>
              </w:rPr>
              <w:t xml:space="preserve"> Community visitors have a </w:t>
            </w:r>
            <w:r w:rsidRPr="00834BF0">
              <w:rPr>
                <w:rFonts w:cs="Times New Roman"/>
                <w:sz w:val="19"/>
                <w:szCs w:val="19"/>
                <w:lang w:val="en-GB" w:eastAsia="en-GB"/>
              </w:rPr>
              <w:lastRenderedPageBreak/>
              <w:t>range of powers, including:</w:t>
            </w:r>
          </w:p>
          <w:p w14:paraId="62A640C4" w14:textId="77777777" w:rsidR="00030303" w:rsidRPr="00834BF0" w:rsidRDefault="00030303" w:rsidP="00030303">
            <w:pPr>
              <w:numPr>
                <w:ilvl w:val="0"/>
                <w:numId w:val="20"/>
              </w:numPr>
              <w:tabs>
                <w:tab w:val="num" w:pos="369"/>
              </w:tabs>
              <w:spacing w:after="0" w:line="240" w:lineRule="auto"/>
              <w:ind w:left="369" w:hanging="284"/>
              <w:contextualSpacing/>
              <w:rPr>
                <w:rFonts w:cs="Times New Roman"/>
                <w:sz w:val="19"/>
                <w:szCs w:val="19"/>
                <w:lang w:val="en-GB" w:eastAsia="en-GB"/>
              </w:rPr>
            </w:pPr>
            <w:r w:rsidRPr="00834BF0">
              <w:rPr>
                <w:rFonts w:cs="Times New Roman"/>
                <w:sz w:val="19"/>
                <w:szCs w:val="19"/>
                <w:lang w:val="en-GB" w:eastAsia="en-GB"/>
              </w:rPr>
              <w:t xml:space="preserve">entering and </w:t>
            </w:r>
            <w:r w:rsidRPr="00834BF0">
              <w:rPr>
                <w:rFonts w:cs="Times New Roman"/>
                <w:sz w:val="19"/>
                <w:szCs w:val="19"/>
              </w:rPr>
              <w:t>inspecting</w:t>
            </w:r>
            <w:r w:rsidRPr="00834BF0">
              <w:rPr>
                <w:rFonts w:cs="Times New Roman"/>
                <w:sz w:val="19"/>
                <w:szCs w:val="19"/>
                <w:lang w:val="en-GB" w:eastAsia="en-GB"/>
              </w:rPr>
              <w:t xml:space="preserve"> premises at which </w:t>
            </w:r>
            <w:proofErr w:type="spellStart"/>
            <w:r w:rsidRPr="00834BF0">
              <w:rPr>
                <w:rFonts w:cs="Times New Roman"/>
                <w:sz w:val="19"/>
                <w:szCs w:val="19"/>
                <w:lang w:val="en-GB" w:eastAsia="en-GB"/>
              </w:rPr>
              <w:t>visitable</w:t>
            </w:r>
            <w:proofErr w:type="spellEnd"/>
            <w:r w:rsidRPr="00834BF0">
              <w:rPr>
                <w:rFonts w:cs="Times New Roman"/>
                <w:sz w:val="19"/>
                <w:szCs w:val="19"/>
                <w:lang w:val="en-GB" w:eastAsia="en-GB"/>
              </w:rPr>
              <w:t xml:space="preserve"> services are provided (which can be done at any reasonable time); </w:t>
            </w:r>
          </w:p>
          <w:p w14:paraId="1F0F8808" w14:textId="77777777" w:rsidR="00030303" w:rsidRPr="00834BF0" w:rsidRDefault="00030303" w:rsidP="00030303">
            <w:pPr>
              <w:numPr>
                <w:ilvl w:val="0"/>
                <w:numId w:val="20"/>
              </w:numPr>
              <w:tabs>
                <w:tab w:val="num" w:pos="369"/>
              </w:tabs>
              <w:spacing w:after="0" w:line="240" w:lineRule="auto"/>
              <w:ind w:left="369" w:hanging="284"/>
              <w:contextualSpacing/>
              <w:rPr>
                <w:rFonts w:cs="Times New Roman"/>
                <w:sz w:val="19"/>
                <w:szCs w:val="19"/>
                <w:lang w:val="en-GB" w:eastAsia="en-GB"/>
              </w:rPr>
            </w:pPr>
            <w:r w:rsidRPr="00834BF0">
              <w:rPr>
                <w:rFonts w:cs="Times New Roman"/>
                <w:sz w:val="19"/>
                <w:szCs w:val="19"/>
                <w:lang w:val="en-GB" w:eastAsia="en-GB"/>
              </w:rPr>
              <w:t xml:space="preserve">conferring with residents or employees at the premises, and inspecting documents relating to the </w:t>
            </w:r>
            <w:r w:rsidRPr="00834BF0">
              <w:rPr>
                <w:rFonts w:cs="Times New Roman"/>
                <w:sz w:val="19"/>
                <w:szCs w:val="19"/>
                <w:lang w:val="en-GB" w:eastAsia="en-GB"/>
              </w:rPr>
              <w:lastRenderedPageBreak/>
              <w:t>operation of the service;</w:t>
            </w:r>
          </w:p>
          <w:p w14:paraId="31E252CE" w14:textId="77777777" w:rsidR="00030303" w:rsidRPr="00834BF0" w:rsidRDefault="00030303" w:rsidP="00030303">
            <w:pPr>
              <w:numPr>
                <w:ilvl w:val="0"/>
                <w:numId w:val="20"/>
              </w:numPr>
              <w:tabs>
                <w:tab w:val="num" w:pos="369"/>
              </w:tabs>
              <w:spacing w:after="0" w:line="240" w:lineRule="auto"/>
              <w:ind w:left="369" w:hanging="284"/>
              <w:contextualSpacing/>
              <w:rPr>
                <w:rFonts w:cs="Times New Roman"/>
                <w:sz w:val="19"/>
                <w:szCs w:val="19"/>
                <w:lang w:val="en-GB" w:eastAsia="en-GB"/>
              </w:rPr>
            </w:pPr>
            <w:r w:rsidRPr="00834BF0">
              <w:rPr>
                <w:rFonts w:cs="Times New Roman"/>
                <w:sz w:val="19"/>
                <w:szCs w:val="19"/>
                <w:lang w:val="en-GB" w:eastAsia="en-GB"/>
              </w:rPr>
              <w:t xml:space="preserve">informing the Minister and Commissioner about the conduct of the premises, and matters affecting the welfare, interests and conditions of persons using </w:t>
            </w:r>
            <w:proofErr w:type="spellStart"/>
            <w:r w:rsidRPr="00834BF0">
              <w:rPr>
                <w:rFonts w:cs="Times New Roman"/>
                <w:sz w:val="19"/>
                <w:szCs w:val="19"/>
                <w:lang w:val="en-GB" w:eastAsia="en-GB"/>
              </w:rPr>
              <w:t>visitable</w:t>
            </w:r>
            <w:proofErr w:type="spellEnd"/>
            <w:r w:rsidRPr="00834BF0">
              <w:rPr>
                <w:rFonts w:cs="Times New Roman"/>
                <w:sz w:val="19"/>
                <w:szCs w:val="19"/>
                <w:lang w:val="en-GB" w:eastAsia="en-GB"/>
              </w:rPr>
              <w:t xml:space="preserve"> services; </w:t>
            </w:r>
          </w:p>
          <w:p w14:paraId="528F6FA4" w14:textId="77777777" w:rsidR="00030303" w:rsidRPr="00834BF0" w:rsidRDefault="00030303" w:rsidP="00030303">
            <w:pPr>
              <w:numPr>
                <w:ilvl w:val="0"/>
                <w:numId w:val="20"/>
              </w:numPr>
              <w:tabs>
                <w:tab w:val="num" w:pos="369"/>
              </w:tabs>
              <w:spacing w:after="0" w:line="240" w:lineRule="auto"/>
              <w:ind w:left="369" w:hanging="284"/>
              <w:contextualSpacing/>
              <w:rPr>
                <w:rFonts w:cs="Times New Roman"/>
                <w:sz w:val="19"/>
                <w:szCs w:val="19"/>
                <w:lang w:val="en-GB" w:eastAsia="en-GB"/>
              </w:rPr>
            </w:pPr>
            <w:r w:rsidRPr="00834BF0">
              <w:rPr>
                <w:rFonts w:cs="Times New Roman"/>
                <w:sz w:val="19"/>
                <w:szCs w:val="19"/>
                <w:lang w:val="en-GB" w:eastAsia="en-GB"/>
              </w:rPr>
              <w:t xml:space="preserve">encouraging the promotion of service-users’ legal and human rights; </w:t>
            </w:r>
          </w:p>
          <w:p w14:paraId="63BAD95E" w14:textId="77777777" w:rsidR="00030303" w:rsidRPr="00834BF0" w:rsidRDefault="00030303" w:rsidP="00030303">
            <w:pPr>
              <w:numPr>
                <w:ilvl w:val="0"/>
                <w:numId w:val="20"/>
              </w:numPr>
              <w:tabs>
                <w:tab w:val="num" w:pos="369"/>
              </w:tabs>
              <w:spacing w:after="0" w:line="240" w:lineRule="auto"/>
              <w:ind w:left="369" w:hanging="284"/>
              <w:contextualSpacing/>
              <w:rPr>
                <w:rFonts w:cs="Times New Roman"/>
                <w:sz w:val="19"/>
                <w:szCs w:val="19"/>
                <w:lang w:val="en-GB" w:eastAsia="en-GB"/>
              </w:rPr>
            </w:pPr>
            <w:r w:rsidRPr="00834BF0">
              <w:rPr>
                <w:rFonts w:cs="Times New Roman"/>
                <w:sz w:val="19"/>
                <w:szCs w:val="19"/>
                <w:lang w:val="en-GB" w:eastAsia="en-GB"/>
              </w:rPr>
              <w:lastRenderedPageBreak/>
              <w:t xml:space="preserve">providing information to service-users about independent advocacy services, and, </w:t>
            </w:r>
            <w:r w:rsidRPr="00834BF0">
              <w:rPr>
                <w:rFonts w:cs="Times New Roman"/>
                <w:sz w:val="19"/>
                <w:szCs w:val="19"/>
              </w:rPr>
              <w:t>when</w:t>
            </w:r>
            <w:r w:rsidRPr="00834BF0">
              <w:rPr>
                <w:rFonts w:cs="Times New Roman"/>
                <w:sz w:val="19"/>
                <w:szCs w:val="19"/>
                <w:lang w:val="en-GB" w:eastAsia="en-GB"/>
              </w:rPr>
              <w:t xml:space="preserve"> appropriate, assisting them to obtain those services; and </w:t>
            </w:r>
          </w:p>
          <w:p w14:paraId="1231CF7B" w14:textId="77777777" w:rsidR="00030303" w:rsidRPr="00834BF0" w:rsidRDefault="00030303" w:rsidP="00030303">
            <w:pPr>
              <w:numPr>
                <w:ilvl w:val="0"/>
                <w:numId w:val="20"/>
              </w:numPr>
              <w:tabs>
                <w:tab w:val="num" w:pos="369"/>
              </w:tabs>
              <w:spacing w:after="0" w:line="240" w:lineRule="auto"/>
              <w:ind w:left="369" w:hanging="284"/>
              <w:contextualSpacing/>
              <w:rPr>
                <w:rFonts w:cs="Times New Roman"/>
                <w:sz w:val="19"/>
                <w:szCs w:val="19"/>
                <w:lang w:val="en-GB" w:eastAsia="en-GB"/>
              </w:rPr>
            </w:pPr>
            <w:r w:rsidRPr="00834BF0">
              <w:rPr>
                <w:rFonts w:cs="Times New Roman"/>
                <w:sz w:val="19"/>
                <w:szCs w:val="19"/>
                <w:lang w:val="en-GB" w:eastAsia="en-GB"/>
              </w:rPr>
              <w:t xml:space="preserve">facilitating the resolution of grievances or concerns affecting </w:t>
            </w:r>
            <w:r w:rsidRPr="00834BF0">
              <w:rPr>
                <w:rFonts w:cs="Times New Roman"/>
                <w:sz w:val="19"/>
                <w:szCs w:val="19"/>
              </w:rPr>
              <w:t>service</w:t>
            </w:r>
            <w:r w:rsidRPr="00834BF0">
              <w:rPr>
                <w:rFonts w:cs="Times New Roman"/>
                <w:sz w:val="19"/>
                <w:szCs w:val="19"/>
                <w:lang w:val="en-GB" w:eastAsia="en-GB"/>
              </w:rPr>
              <w:t>-users by referring them to service-providers or other appropriate bodies.</w:t>
            </w:r>
            <w:r w:rsidRPr="00834BF0">
              <w:rPr>
                <w:sz w:val="19"/>
                <w:szCs w:val="19"/>
                <w:vertAlign w:val="superscript"/>
                <w:lang w:val="en-GB" w:eastAsia="en-GB"/>
              </w:rPr>
              <w:footnoteReference w:id="198"/>
            </w:r>
          </w:p>
          <w:p w14:paraId="1BF15D7B" w14:textId="77777777" w:rsidR="00030303" w:rsidRPr="00834BF0" w:rsidRDefault="00030303" w:rsidP="00030303">
            <w:pPr>
              <w:rPr>
                <w:rFonts w:cs="Times New Roman"/>
                <w:sz w:val="19"/>
                <w:szCs w:val="19"/>
                <w:lang w:val="en-GB"/>
              </w:rPr>
            </w:pPr>
            <w:bookmarkStart w:id="41" w:name="_Ref46500025"/>
            <w:r w:rsidRPr="00834BF0">
              <w:rPr>
                <w:rFonts w:cs="Times New Roman"/>
                <w:sz w:val="19"/>
                <w:szCs w:val="19"/>
                <w:lang w:val="en-GB" w:eastAsia="en-GB"/>
              </w:rPr>
              <w:lastRenderedPageBreak/>
              <w:t>The Act also prohibits the victimisation of a person who complains to a community visitor.</w:t>
            </w:r>
            <w:r w:rsidRPr="00834BF0">
              <w:rPr>
                <w:sz w:val="19"/>
                <w:szCs w:val="19"/>
                <w:vertAlign w:val="superscript"/>
                <w:lang w:val="en-GB" w:eastAsia="en-GB"/>
              </w:rPr>
              <w:footnoteReference w:id="199"/>
            </w:r>
            <w:bookmarkEnd w:id="41"/>
          </w:p>
          <w:p w14:paraId="159BE937" w14:textId="77777777" w:rsidR="00030303" w:rsidRPr="00834BF0" w:rsidRDefault="00030303" w:rsidP="00030303">
            <w:pPr>
              <w:rPr>
                <w:rFonts w:cs="Times New Roman"/>
                <w:sz w:val="19"/>
                <w:szCs w:val="19"/>
                <w:lang w:val="en-GB"/>
              </w:rPr>
            </w:pPr>
          </w:p>
        </w:tc>
        <w:tc>
          <w:tcPr>
            <w:tcW w:w="0" w:type="auto"/>
          </w:tcPr>
          <w:p w14:paraId="194E98EE" w14:textId="77777777" w:rsidR="00030303" w:rsidRPr="00834BF0" w:rsidRDefault="00030303" w:rsidP="00030303">
            <w:pPr>
              <w:rPr>
                <w:rFonts w:cs="Times New Roman"/>
                <w:sz w:val="19"/>
                <w:szCs w:val="19"/>
              </w:rPr>
            </w:pPr>
            <w:r w:rsidRPr="00834BF0">
              <w:rPr>
                <w:rFonts w:cs="Times New Roman"/>
                <w:sz w:val="19"/>
                <w:szCs w:val="19"/>
              </w:rPr>
              <w:lastRenderedPageBreak/>
              <w:t xml:space="preserve">Part 6 of the </w:t>
            </w:r>
            <w:r w:rsidRPr="00834BF0">
              <w:rPr>
                <w:rFonts w:cs="Times New Roman"/>
                <w:i/>
                <w:sz w:val="19"/>
                <w:szCs w:val="19"/>
              </w:rPr>
              <w:t>Disability Services Act 1993</w:t>
            </w:r>
            <w:r w:rsidRPr="00834BF0">
              <w:rPr>
                <w:rFonts w:cs="Times New Roman"/>
                <w:sz w:val="19"/>
                <w:szCs w:val="19"/>
              </w:rPr>
              <w:t xml:space="preserve"> (NT) establishes a community visitor program for government-operated residential facilities in the Northern Territory. It does not apply to specialist disability </w:t>
            </w:r>
            <w:r w:rsidRPr="00834BF0">
              <w:rPr>
                <w:rFonts w:cs="Times New Roman"/>
                <w:sz w:val="19"/>
                <w:szCs w:val="19"/>
              </w:rPr>
              <w:lastRenderedPageBreak/>
              <w:t xml:space="preserve">accommodation under the NDIS. </w:t>
            </w:r>
          </w:p>
          <w:p w14:paraId="774DB3E8" w14:textId="77777777" w:rsidR="00030303" w:rsidRPr="00834BF0" w:rsidRDefault="00030303" w:rsidP="00030303">
            <w:pPr>
              <w:rPr>
                <w:rFonts w:cs="Times New Roman"/>
                <w:sz w:val="19"/>
                <w:szCs w:val="19"/>
              </w:rPr>
            </w:pPr>
            <w:r w:rsidRPr="00834BF0">
              <w:rPr>
                <w:rFonts w:cs="Times New Roman"/>
                <w:sz w:val="19"/>
                <w:szCs w:val="19"/>
              </w:rPr>
              <w:t>Individual community visitors have inquiry and complaints functions. This includes inquiring into and making recommendations relating to matters such as:</w:t>
            </w:r>
          </w:p>
          <w:p w14:paraId="7AFBB620" w14:textId="77777777" w:rsidR="00030303" w:rsidRPr="00834BF0" w:rsidRDefault="00030303" w:rsidP="00030303">
            <w:pPr>
              <w:numPr>
                <w:ilvl w:val="4"/>
                <w:numId w:val="14"/>
              </w:numPr>
              <w:spacing w:after="0" w:line="240" w:lineRule="auto"/>
              <w:rPr>
                <w:rFonts w:cs="Times New Roman"/>
                <w:sz w:val="19"/>
                <w:szCs w:val="19"/>
              </w:rPr>
            </w:pPr>
            <w:r w:rsidRPr="00834BF0">
              <w:rPr>
                <w:rFonts w:cs="Times New Roman"/>
                <w:sz w:val="19"/>
                <w:szCs w:val="19"/>
              </w:rPr>
              <w:t xml:space="preserve">the adequacy of information relating to complaints procedures, and to the rights of people receiving treatment and care at </w:t>
            </w:r>
            <w:r w:rsidRPr="00834BF0">
              <w:rPr>
                <w:rFonts w:cs="Times New Roman"/>
                <w:sz w:val="19"/>
                <w:szCs w:val="19"/>
              </w:rPr>
              <w:lastRenderedPageBreak/>
              <w:t>residential facilities;</w:t>
            </w:r>
          </w:p>
          <w:p w14:paraId="2586EABA" w14:textId="77777777" w:rsidR="00030303" w:rsidRPr="00834BF0" w:rsidRDefault="00030303" w:rsidP="00030303">
            <w:pPr>
              <w:numPr>
                <w:ilvl w:val="4"/>
                <w:numId w:val="14"/>
              </w:numPr>
              <w:spacing w:after="0" w:line="240" w:lineRule="auto"/>
              <w:rPr>
                <w:rFonts w:cs="Times New Roman"/>
                <w:sz w:val="19"/>
                <w:szCs w:val="19"/>
              </w:rPr>
            </w:pPr>
            <w:r w:rsidRPr="00834BF0">
              <w:rPr>
                <w:rFonts w:cs="Times New Roman"/>
                <w:sz w:val="19"/>
                <w:szCs w:val="19"/>
              </w:rPr>
              <w:t>the accessibility of complaint procedures;</w:t>
            </w:r>
          </w:p>
          <w:p w14:paraId="43E7BA36" w14:textId="77777777" w:rsidR="00030303" w:rsidRPr="00834BF0" w:rsidRDefault="00030303" w:rsidP="00030303">
            <w:pPr>
              <w:numPr>
                <w:ilvl w:val="4"/>
                <w:numId w:val="14"/>
              </w:numPr>
              <w:spacing w:after="0" w:line="240" w:lineRule="auto"/>
              <w:rPr>
                <w:rFonts w:cs="Times New Roman"/>
                <w:sz w:val="19"/>
                <w:szCs w:val="19"/>
              </w:rPr>
            </w:pPr>
            <w:r w:rsidRPr="00834BF0">
              <w:rPr>
                <w:rFonts w:cs="Times New Roman"/>
                <w:sz w:val="19"/>
                <w:szCs w:val="19"/>
              </w:rPr>
              <w:t>the failure of persons employed in residential facilities to comply with the Act; and</w:t>
            </w:r>
          </w:p>
          <w:p w14:paraId="2BDF7EE3" w14:textId="77777777" w:rsidR="00030303" w:rsidRPr="00834BF0" w:rsidRDefault="00030303" w:rsidP="00030303">
            <w:pPr>
              <w:numPr>
                <w:ilvl w:val="4"/>
                <w:numId w:val="14"/>
              </w:numPr>
              <w:spacing w:after="0" w:line="240" w:lineRule="auto"/>
              <w:rPr>
                <w:rFonts w:cs="Times New Roman"/>
                <w:sz w:val="19"/>
                <w:szCs w:val="19"/>
              </w:rPr>
            </w:pPr>
            <w:r w:rsidRPr="00834BF0">
              <w:rPr>
                <w:rFonts w:cs="Times New Roman"/>
                <w:sz w:val="19"/>
                <w:szCs w:val="19"/>
              </w:rPr>
              <w:t>the use of restrictive interventions.</w:t>
            </w:r>
            <w:r w:rsidRPr="00834BF0">
              <w:rPr>
                <w:rFonts w:cs="Times New Roman"/>
                <w:sz w:val="19"/>
                <w:szCs w:val="19"/>
                <w:vertAlign w:val="superscript"/>
              </w:rPr>
              <w:footnoteReference w:id="200"/>
            </w:r>
            <w:r w:rsidRPr="00834BF0">
              <w:rPr>
                <w:rFonts w:cs="Times New Roman"/>
                <w:sz w:val="19"/>
                <w:szCs w:val="19"/>
              </w:rPr>
              <w:t xml:space="preserve"> </w:t>
            </w:r>
          </w:p>
          <w:p w14:paraId="38139911" w14:textId="77777777" w:rsidR="00030303" w:rsidRPr="00834BF0" w:rsidRDefault="00030303" w:rsidP="00030303">
            <w:pPr>
              <w:numPr>
                <w:ilvl w:val="0"/>
                <w:numId w:val="14"/>
              </w:numPr>
              <w:spacing w:after="0" w:line="240" w:lineRule="auto"/>
              <w:rPr>
                <w:rFonts w:cs="Times New Roman"/>
                <w:sz w:val="19"/>
                <w:szCs w:val="19"/>
              </w:rPr>
            </w:pPr>
            <w:r w:rsidRPr="00834BF0">
              <w:rPr>
                <w:rFonts w:cs="Times New Roman"/>
                <w:sz w:val="19"/>
                <w:szCs w:val="19"/>
              </w:rPr>
              <w:t xml:space="preserve">Community visitors must also receive and facilitate the resolution of residents’ </w:t>
            </w:r>
            <w:r w:rsidRPr="00834BF0">
              <w:rPr>
                <w:rFonts w:cs="Times New Roman"/>
                <w:sz w:val="19"/>
                <w:szCs w:val="19"/>
              </w:rPr>
              <w:lastRenderedPageBreak/>
              <w:t>complaints, and help residents to make complaints or apply for review or appeal of certain decisions under the Act.</w:t>
            </w:r>
            <w:r w:rsidRPr="00834BF0">
              <w:rPr>
                <w:rFonts w:cs="Times New Roman"/>
                <w:sz w:val="19"/>
                <w:szCs w:val="19"/>
                <w:vertAlign w:val="superscript"/>
              </w:rPr>
              <w:footnoteReference w:id="201"/>
            </w:r>
            <w:r w:rsidRPr="00834BF0">
              <w:rPr>
                <w:rFonts w:cs="Times New Roman"/>
                <w:sz w:val="19"/>
                <w:szCs w:val="19"/>
              </w:rPr>
              <w:t xml:space="preserve"> </w:t>
            </w:r>
          </w:p>
          <w:p w14:paraId="62E3E968" w14:textId="77777777" w:rsidR="00030303" w:rsidRPr="00834BF0" w:rsidRDefault="00030303" w:rsidP="00030303">
            <w:pPr>
              <w:rPr>
                <w:rFonts w:cs="Times New Roman"/>
                <w:sz w:val="19"/>
                <w:szCs w:val="19"/>
              </w:rPr>
            </w:pPr>
          </w:p>
        </w:tc>
        <w:tc>
          <w:tcPr>
            <w:tcW w:w="0" w:type="auto"/>
          </w:tcPr>
          <w:p w14:paraId="5C7E1884" w14:textId="77777777" w:rsidR="00030303" w:rsidRPr="00834BF0" w:rsidRDefault="00030303" w:rsidP="00030303">
            <w:pPr>
              <w:numPr>
                <w:ilvl w:val="0"/>
                <w:numId w:val="14"/>
              </w:numPr>
              <w:spacing w:after="0" w:line="240" w:lineRule="auto"/>
              <w:rPr>
                <w:rFonts w:cs="Times New Roman"/>
                <w:sz w:val="19"/>
                <w:szCs w:val="19"/>
              </w:rPr>
            </w:pPr>
            <w:bookmarkStart w:id="42" w:name="_Ref46500055"/>
            <w:r w:rsidRPr="00834BF0">
              <w:rPr>
                <w:rFonts w:cs="Times New Roman"/>
                <w:sz w:val="19"/>
                <w:szCs w:val="19"/>
              </w:rPr>
              <w:lastRenderedPageBreak/>
              <w:t xml:space="preserve">Chapter 3, Part 6 of the </w:t>
            </w:r>
            <w:r w:rsidRPr="00834BF0">
              <w:rPr>
                <w:rFonts w:cs="Times New Roman"/>
                <w:i/>
                <w:sz w:val="19"/>
                <w:szCs w:val="19"/>
              </w:rPr>
              <w:t xml:space="preserve">Public Guardian Act 2014 </w:t>
            </w:r>
            <w:r w:rsidRPr="00834BF0">
              <w:rPr>
                <w:rFonts w:cs="Times New Roman"/>
                <w:sz w:val="19"/>
                <w:szCs w:val="19"/>
              </w:rPr>
              <w:t xml:space="preserve">(Qld) establishes a community visitor scheme to protect the rights and interests of consumers at ‘visitable </w:t>
            </w:r>
            <w:proofErr w:type="gramStart"/>
            <w:r w:rsidRPr="00834BF0">
              <w:rPr>
                <w:rFonts w:cs="Times New Roman"/>
                <w:sz w:val="19"/>
                <w:szCs w:val="19"/>
              </w:rPr>
              <w:t>sites’</w:t>
            </w:r>
            <w:proofErr w:type="gramEnd"/>
            <w:r w:rsidRPr="00834BF0">
              <w:rPr>
                <w:rFonts w:cs="Times New Roman"/>
                <w:sz w:val="19"/>
                <w:szCs w:val="19"/>
              </w:rPr>
              <w:t>.</w:t>
            </w:r>
            <w:r w:rsidRPr="00834BF0">
              <w:rPr>
                <w:rFonts w:cs="Times New Roman"/>
                <w:sz w:val="19"/>
                <w:szCs w:val="19"/>
                <w:vertAlign w:val="superscript"/>
              </w:rPr>
              <w:footnoteReference w:id="202"/>
            </w:r>
            <w:r w:rsidRPr="00834BF0">
              <w:rPr>
                <w:rFonts w:cs="Times New Roman"/>
                <w:sz w:val="19"/>
                <w:szCs w:val="19"/>
              </w:rPr>
              <w:t xml:space="preserve"> Visitable sites are:</w:t>
            </w:r>
            <w:bookmarkEnd w:id="42"/>
            <w:r w:rsidRPr="00834BF0">
              <w:rPr>
                <w:rFonts w:cs="Times New Roman"/>
                <w:sz w:val="19"/>
                <w:szCs w:val="19"/>
              </w:rPr>
              <w:t xml:space="preserve"> </w:t>
            </w:r>
          </w:p>
          <w:p w14:paraId="6C7F62B5" w14:textId="77777777" w:rsidR="00030303" w:rsidRPr="00834BF0" w:rsidRDefault="00030303" w:rsidP="00030303">
            <w:pPr>
              <w:numPr>
                <w:ilvl w:val="4"/>
                <w:numId w:val="14"/>
              </w:numPr>
              <w:tabs>
                <w:tab w:val="num" w:pos="425"/>
              </w:tabs>
              <w:spacing w:after="0" w:line="240" w:lineRule="auto"/>
              <w:rPr>
                <w:rFonts w:cs="Times New Roman"/>
                <w:sz w:val="19"/>
                <w:szCs w:val="19"/>
                <w:lang w:val="en-GB"/>
              </w:rPr>
            </w:pPr>
            <w:r w:rsidRPr="00834BF0">
              <w:rPr>
                <w:rFonts w:cs="Times New Roman"/>
                <w:sz w:val="19"/>
                <w:szCs w:val="19"/>
                <w:lang w:val="en-GB"/>
              </w:rPr>
              <w:t xml:space="preserve">forensic </w:t>
            </w:r>
            <w:r w:rsidRPr="00834BF0">
              <w:rPr>
                <w:rFonts w:cs="Times New Roman"/>
                <w:sz w:val="19"/>
                <w:szCs w:val="19"/>
              </w:rPr>
              <w:t>disability</w:t>
            </w:r>
            <w:r w:rsidRPr="00834BF0">
              <w:rPr>
                <w:rFonts w:cs="Times New Roman"/>
                <w:sz w:val="19"/>
                <w:szCs w:val="19"/>
                <w:lang w:val="en-GB"/>
              </w:rPr>
              <w:t xml:space="preserve"> services, and authorised mental health </w:t>
            </w:r>
            <w:r w:rsidRPr="00834BF0">
              <w:rPr>
                <w:rFonts w:cs="Times New Roman"/>
                <w:sz w:val="19"/>
                <w:szCs w:val="19"/>
                <w:lang w:val="en-GB"/>
              </w:rPr>
              <w:lastRenderedPageBreak/>
              <w:t>services under the </w:t>
            </w:r>
            <w:r w:rsidRPr="00834BF0">
              <w:rPr>
                <w:rFonts w:cs="Times New Roman"/>
                <w:i/>
                <w:sz w:val="19"/>
                <w:szCs w:val="19"/>
              </w:rPr>
              <w:t>Mental Health Act 2016</w:t>
            </w:r>
            <w:r w:rsidRPr="00834BF0">
              <w:rPr>
                <w:rFonts w:cs="Times New Roman"/>
                <w:sz w:val="19"/>
                <w:szCs w:val="19"/>
                <w:lang w:val="en-GB"/>
              </w:rPr>
              <w:t xml:space="preserve"> (Qld) that provide inpatient services; </w:t>
            </w:r>
          </w:p>
          <w:p w14:paraId="6DFAA307" w14:textId="77777777" w:rsidR="00030303" w:rsidRPr="00834BF0" w:rsidRDefault="00030303" w:rsidP="00030303">
            <w:pPr>
              <w:numPr>
                <w:ilvl w:val="4"/>
                <w:numId w:val="14"/>
              </w:numPr>
              <w:tabs>
                <w:tab w:val="num" w:pos="425"/>
              </w:tabs>
              <w:spacing w:after="0" w:line="240" w:lineRule="auto"/>
              <w:rPr>
                <w:rFonts w:cs="Times New Roman"/>
                <w:sz w:val="19"/>
                <w:szCs w:val="19"/>
                <w:lang w:val="en-GB"/>
              </w:rPr>
            </w:pPr>
            <w:r w:rsidRPr="00834BF0">
              <w:rPr>
                <w:rFonts w:cs="Times New Roman"/>
                <w:sz w:val="19"/>
                <w:szCs w:val="19"/>
                <w:lang w:val="en-GB"/>
              </w:rPr>
              <w:t xml:space="preserve">premises, other than private dwellings, at which NDIS participants with </w:t>
            </w:r>
            <w:r w:rsidRPr="00834BF0">
              <w:rPr>
                <w:rFonts w:cs="Times New Roman"/>
                <w:sz w:val="19"/>
                <w:szCs w:val="19"/>
              </w:rPr>
              <w:t>impaired</w:t>
            </w:r>
            <w:r w:rsidRPr="00834BF0">
              <w:rPr>
                <w:rFonts w:cs="Times New Roman"/>
                <w:sz w:val="19"/>
                <w:szCs w:val="19"/>
                <w:lang w:val="en-GB"/>
              </w:rPr>
              <w:t xml:space="preserve"> capacity live and receive certain specified NDIS services (such as SDA or specialist positive behaviour support) from registered NDIS </w:t>
            </w:r>
            <w:r w:rsidRPr="00834BF0">
              <w:rPr>
                <w:rFonts w:cs="Times New Roman"/>
                <w:sz w:val="19"/>
                <w:szCs w:val="19"/>
                <w:lang w:val="en-GB"/>
              </w:rPr>
              <w:lastRenderedPageBreak/>
              <w:t xml:space="preserve">providers; and </w:t>
            </w:r>
          </w:p>
          <w:p w14:paraId="434D2553" w14:textId="77777777" w:rsidR="00030303" w:rsidRPr="00834BF0" w:rsidRDefault="00030303" w:rsidP="00030303">
            <w:pPr>
              <w:numPr>
                <w:ilvl w:val="4"/>
                <w:numId w:val="14"/>
              </w:numPr>
              <w:tabs>
                <w:tab w:val="num" w:pos="425"/>
              </w:tabs>
              <w:spacing w:after="0" w:line="240" w:lineRule="auto"/>
              <w:rPr>
                <w:rFonts w:cs="Times New Roman"/>
                <w:sz w:val="19"/>
                <w:szCs w:val="19"/>
              </w:rPr>
            </w:pPr>
            <w:r w:rsidRPr="00834BF0">
              <w:rPr>
                <w:rFonts w:cs="Times New Roman"/>
                <w:sz w:val="19"/>
                <w:szCs w:val="19"/>
                <w:lang w:val="en-GB"/>
              </w:rPr>
              <w:t xml:space="preserve">the additional sites, other than private dwellings, set out in </w:t>
            </w:r>
            <w:r w:rsidRPr="00834BF0">
              <w:rPr>
                <w:rFonts w:cs="Times New Roman"/>
                <w:sz w:val="19"/>
                <w:szCs w:val="19"/>
              </w:rPr>
              <w:t>Schedule</w:t>
            </w:r>
            <w:r w:rsidRPr="00834BF0">
              <w:rPr>
                <w:rFonts w:cs="Times New Roman"/>
                <w:sz w:val="19"/>
                <w:szCs w:val="19"/>
                <w:lang w:val="en-GB"/>
              </w:rPr>
              <w:t xml:space="preserve"> 1 of the </w:t>
            </w:r>
            <w:r w:rsidRPr="00834BF0">
              <w:rPr>
                <w:rFonts w:cs="Times New Roman"/>
                <w:i/>
                <w:sz w:val="19"/>
                <w:szCs w:val="19"/>
                <w:lang w:val="en-GB"/>
              </w:rPr>
              <w:t xml:space="preserve">Public Guardian Regulation 2014 </w:t>
            </w:r>
            <w:r w:rsidRPr="00834BF0">
              <w:rPr>
                <w:rFonts w:cs="Times New Roman"/>
                <w:sz w:val="19"/>
                <w:szCs w:val="19"/>
                <w:lang w:val="en-GB"/>
              </w:rPr>
              <w:t>(Qld)</w:t>
            </w:r>
            <w:r w:rsidRPr="00834BF0">
              <w:rPr>
                <w:rFonts w:cs="Times New Roman"/>
                <w:i/>
                <w:sz w:val="19"/>
                <w:szCs w:val="19"/>
                <w:lang w:val="en-GB"/>
              </w:rPr>
              <w:t xml:space="preserve">. </w:t>
            </w:r>
            <w:r w:rsidRPr="00834BF0">
              <w:rPr>
                <w:rFonts w:cs="Times New Roman"/>
                <w:sz w:val="19"/>
                <w:szCs w:val="19"/>
                <w:lang w:val="en-GB"/>
              </w:rPr>
              <w:t>Broadly, these include places at which adults with impaired capacity live.</w:t>
            </w:r>
          </w:p>
          <w:p w14:paraId="019DBCA5" w14:textId="77777777" w:rsidR="00030303" w:rsidRPr="00834BF0" w:rsidRDefault="00030303" w:rsidP="00030303">
            <w:pPr>
              <w:rPr>
                <w:rFonts w:cs="Times New Roman"/>
                <w:sz w:val="19"/>
                <w:szCs w:val="19"/>
                <w:lang w:val="en-GB" w:eastAsia="en-GB"/>
              </w:rPr>
            </w:pPr>
            <w:r w:rsidRPr="00834BF0">
              <w:rPr>
                <w:rFonts w:cs="Times New Roman"/>
                <w:sz w:val="19"/>
                <w:szCs w:val="19"/>
                <w:lang w:val="en-GB" w:eastAsia="en-GB"/>
              </w:rPr>
              <w:t xml:space="preserve">Accordingly, certain NDIS-related </w:t>
            </w:r>
            <w:r w:rsidRPr="00834BF0">
              <w:rPr>
                <w:rFonts w:cs="Times New Roman"/>
                <w:sz w:val="19"/>
                <w:szCs w:val="19"/>
                <w:lang w:val="en-GB" w:eastAsia="en-GB"/>
              </w:rPr>
              <w:lastRenderedPageBreak/>
              <w:t xml:space="preserve">premises are </w:t>
            </w:r>
            <w:proofErr w:type="spellStart"/>
            <w:r w:rsidRPr="00834BF0">
              <w:rPr>
                <w:rFonts w:cs="Times New Roman"/>
                <w:sz w:val="19"/>
                <w:szCs w:val="19"/>
                <w:lang w:val="en-GB" w:eastAsia="en-GB"/>
              </w:rPr>
              <w:t>visitable</w:t>
            </w:r>
            <w:proofErr w:type="spellEnd"/>
            <w:r w:rsidRPr="00834BF0">
              <w:rPr>
                <w:rFonts w:cs="Times New Roman"/>
                <w:sz w:val="19"/>
                <w:szCs w:val="19"/>
                <w:lang w:val="en-GB" w:eastAsia="en-GB"/>
              </w:rPr>
              <w:t>. However, the Act would not allow community visitors to attend private homes.</w:t>
            </w:r>
          </w:p>
          <w:p w14:paraId="1B5AB11A" w14:textId="77777777" w:rsidR="00030303" w:rsidRPr="00834BF0" w:rsidRDefault="00030303" w:rsidP="00030303">
            <w:pPr>
              <w:numPr>
                <w:ilvl w:val="0"/>
                <w:numId w:val="14"/>
              </w:numPr>
              <w:spacing w:after="0" w:line="240" w:lineRule="auto"/>
              <w:rPr>
                <w:rFonts w:cs="Times New Roman"/>
                <w:sz w:val="19"/>
                <w:szCs w:val="19"/>
                <w:lang w:val="en-GB"/>
              </w:rPr>
            </w:pPr>
            <w:r w:rsidRPr="00834BF0">
              <w:rPr>
                <w:rFonts w:cs="Times New Roman"/>
                <w:sz w:val="19"/>
                <w:szCs w:val="19"/>
                <w:lang w:val="en-GB"/>
              </w:rPr>
              <w:t xml:space="preserve">Community visitors must regularly attend </w:t>
            </w:r>
            <w:proofErr w:type="spellStart"/>
            <w:r w:rsidRPr="00834BF0">
              <w:rPr>
                <w:rFonts w:cs="Times New Roman"/>
                <w:sz w:val="19"/>
                <w:szCs w:val="19"/>
                <w:lang w:val="en-GB"/>
              </w:rPr>
              <w:t>visitable</w:t>
            </w:r>
            <w:proofErr w:type="spellEnd"/>
            <w:r w:rsidRPr="00834BF0">
              <w:rPr>
                <w:rFonts w:cs="Times New Roman"/>
                <w:sz w:val="19"/>
                <w:szCs w:val="19"/>
                <w:lang w:val="en-GB"/>
              </w:rPr>
              <w:t xml:space="preserve"> sites, at which they exercise inquiry and complaint functions.</w:t>
            </w:r>
            <w:r w:rsidRPr="00834BF0">
              <w:rPr>
                <w:rFonts w:cs="Times New Roman"/>
                <w:sz w:val="19"/>
                <w:szCs w:val="19"/>
                <w:vertAlign w:val="superscript"/>
                <w:lang w:val="en-GB"/>
              </w:rPr>
              <w:footnoteReference w:id="203"/>
            </w:r>
            <w:r w:rsidRPr="00834BF0">
              <w:rPr>
                <w:rFonts w:cs="Times New Roman"/>
                <w:sz w:val="19"/>
                <w:szCs w:val="19"/>
                <w:lang w:val="en-GB"/>
              </w:rPr>
              <w:t xml:space="preserve"> The former include inquiring into and reporting to the Public Guardian on:</w:t>
            </w:r>
          </w:p>
          <w:p w14:paraId="0148FDE7" w14:textId="77777777" w:rsidR="00030303" w:rsidRPr="00834BF0" w:rsidRDefault="00030303" w:rsidP="00030303">
            <w:pPr>
              <w:numPr>
                <w:ilvl w:val="4"/>
                <w:numId w:val="14"/>
              </w:numPr>
              <w:spacing w:after="0" w:line="240" w:lineRule="auto"/>
              <w:rPr>
                <w:rFonts w:cs="Times New Roman"/>
                <w:sz w:val="19"/>
                <w:szCs w:val="19"/>
                <w:lang w:val="en-GB"/>
              </w:rPr>
            </w:pPr>
            <w:r w:rsidRPr="00834BF0">
              <w:rPr>
                <w:rFonts w:cs="Times New Roman"/>
                <w:sz w:val="19"/>
                <w:szCs w:val="19"/>
                <w:lang w:val="en-GB"/>
              </w:rPr>
              <w:t xml:space="preserve">the adequacy, appropriateness and </w:t>
            </w:r>
            <w:r w:rsidRPr="00834BF0">
              <w:rPr>
                <w:rFonts w:cs="Times New Roman"/>
                <w:sz w:val="19"/>
                <w:szCs w:val="19"/>
                <w:lang w:val="en-GB"/>
              </w:rPr>
              <w:lastRenderedPageBreak/>
              <w:t>standard of certain services at the site;</w:t>
            </w:r>
          </w:p>
          <w:p w14:paraId="68414285" w14:textId="77777777" w:rsidR="00030303" w:rsidRPr="00834BF0" w:rsidRDefault="00030303" w:rsidP="00030303">
            <w:pPr>
              <w:numPr>
                <w:ilvl w:val="4"/>
                <w:numId w:val="14"/>
              </w:numPr>
              <w:spacing w:after="0" w:line="240" w:lineRule="auto"/>
              <w:rPr>
                <w:rFonts w:cs="Times New Roman"/>
                <w:sz w:val="19"/>
                <w:szCs w:val="19"/>
                <w:lang w:val="en-GB"/>
              </w:rPr>
            </w:pPr>
            <w:r w:rsidRPr="00834BF0">
              <w:rPr>
                <w:rFonts w:cs="Times New Roman"/>
                <w:sz w:val="19"/>
                <w:szCs w:val="19"/>
                <w:lang w:val="en-GB"/>
              </w:rPr>
              <w:t>whether those services are the least restrictive of consumers’ rights;</w:t>
            </w:r>
          </w:p>
          <w:p w14:paraId="2AA1E856" w14:textId="77777777" w:rsidR="00030303" w:rsidRPr="00834BF0" w:rsidRDefault="00030303" w:rsidP="00030303">
            <w:pPr>
              <w:numPr>
                <w:ilvl w:val="4"/>
                <w:numId w:val="14"/>
              </w:numPr>
              <w:spacing w:after="0" w:line="240" w:lineRule="auto"/>
              <w:rPr>
                <w:rFonts w:cs="Times New Roman"/>
                <w:sz w:val="19"/>
                <w:szCs w:val="19"/>
                <w:lang w:val="en-GB"/>
              </w:rPr>
            </w:pPr>
            <w:r w:rsidRPr="00834BF0">
              <w:rPr>
                <w:rFonts w:cs="Times New Roman"/>
                <w:sz w:val="19"/>
                <w:szCs w:val="19"/>
                <w:lang w:val="en-GB"/>
              </w:rPr>
              <w:t xml:space="preserve">the adequacy of information given to consumers at the site; and </w:t>
            </w:r>
          </w:p>
          <w:p w14:paraId="205AE3D1" w14:textId="77777777" w:rsidR="00030303" w:rsidRPr="00834BF0" w:rsidRDefault="00030303" w:rsidP="00030303">
            <w:pPr>
              <w:numPr>
                <w:ilvl w:val="4"/>
                <w:numId w:val="14"/>
              </w:numPr>
              <w:spacing w:after="0" w:line="240" w:lineRule="auto"/>
              <w:rPr>
                <w:rFonts w:cs="Times New Roman"/>
                <w:sz w:val="19"/>
                <w:szCs w:val="19"/>
                <w:lang w:val="en-GB"/>
              </w:rPr>
            </w:pPr>
            <w:r w:rsidRPr="00834BF0">
              <w:rPr>
                <w:rFonts w:cs="Times New Roman"/>
                <w:sz w:val="19"/>
                <w:szCs w:val="19"/>
                <w:lang w:val="en-GB"/>
              </w:rPr>
              <w:t>the accessibility and effectiveness of complaints procedures.</w:t>
            </w:r>
            <w:r w:rsidRPr="00834BF0">
              <w:rPr>
                <w:rFonts w:cs="Times New Roman"/>
                <w:sz w:val="19"/>
                <w:szCs w:val="19"/>
                <w:vertAlign w:val="superscript"/>
                <w:lang w:val="en-GB"/>
              </w:rPr>
              <w:footnoteReference w:id="204"/>
            </w:r>
            <w:r w:rsidRPr="00834BF0">
              <w:rPr>
                <w:rFonts w:cs="Times New Roman"/>
                <w:sz w:val="19"/>
                <w:szCs w:val="19"/>
                <w:lang w:val="en-GB"/>
              </w:rPr>
              <w:t xml:space="preserve"> </w:t>
            </w:r>
          </w:p>
          <w:p w14:paraId="59E281B8" w14:textId="77777777" w:rsidR="00030303" w:rsidRPr="00834BF0" w:rsidRDefault="00030303" w:rsidP="00030303">
            <w:pPr>
              <w:numPr>
                <w:ilvl w:val="0"/>
                <w:numId w:val="14"/>
              </w:numPr>
              <w:spacing w:after="0" w:line="240" w:lineRule="auto"/>
              <w:rPr>
                <w:rFonts w:cs="Times New Roman"/>
                <w:sz w:val="19"/>
                <w:szCs w:val="19"/>
                <w:lang w:val="en-GB"/>
              </w:rPr>
            </w:pPr>
            <w:r w:rsidRPr="00834BF0">
              <w:rPr>
                <w:rFonts w:cs="Times New Roman"/>
                <w:sz w:val="19"/>
                <w:szCs w:val="19"/>
                <w:lang w:val="en-GB"/>
              </w:rPr>
              <w:t xml:space="preserve">Their complaints functions involve inquiring into and seeking </w:t>
            </w:r>
            <w:r w:rsidRPr="00834BF0">
              <w:rPr>
                <w:rFonts w:cs="Times New Roman"/>
                <w:sz w:val="19"/>
                <w:szCs w:val="19"/>
                <w:lang w:val="en-GB"/>
              </w:rPr>
              <w:lastRenderedPageBreak/>
              <w:t>to resolve complaints, and referring them to appropriate bodies (</w:t>
            </w:r>
            <w:proofErr w:type="spellStart"/>
            <w:r w:rsidRPr="00834BF0">
              <w:rPr>
                <w:rFonts w:cs="Times New Roman"/>
                <w:sz w:val="19"/>
                <w:szCs w:val="19"/>
                <w:lang w:val="en-GB"/>
              </w:rPr>
              <w:t>eg</w:t>
            </w:r>
            <w:proofErr w:type="spellEnd"/>
            <w:r w:rsidRPr="00834BF0">
              <w:rPr>
                <w:rFonts w:cs="Times New Roman"/>
                <w:sz w:val="19"/>
                <w:szCs w:val="19"/>
                <w:lang w:val="en-GB"/>
              </w:rPr>
              <w:t>, the NDIS Commissioner).</w:t>
            </w:r>
            <w:r w:rsidRPr="00834BF0">
              <w:rPr>
                <w:rFonts w:cs="Times New Roman"/>
                <w:sz w:val="19"/>
                <w:szCs w:val="19"/>
                <w:vertAlign w:val="superscript"/>
                <w:lang w:val="en-GB"/>
              </w:rPr>
              <w:footnoteReference w:id="205"/>
            </w:r>
          </w:p>
          <w:p w14:paraId="619763E8" w14:textId="77777777" w:rsidR="00030303" w:rsidRPr="00834BF0" w:rsidRDefault="00030303" w:rsidP="00030303">
            <w:pPr>
              <w:rPr>
                <w:rFonts w:cs="Times New Roman"/>
                <w:sz w:val="19"/>
                <w:szCs w:val="19"/>
              </w:rPr>
            </w:pPr>
          </w:p>
          <w:p w14:paraId="07E0A2FC" w14:textId="77777777" w:rsidR="00030303" w:rsidRPr="00834BF0" w:rsidRDefault="00030303" w:rsidP="00030303">
            <w:pPr>
              <w:rPr>
                <w:rFonts w:cs="Times New Roman"/>
                <w:sz w:val="19"/>
                <w:szCs w:val="19"/>
              </w:rPr>
            </w:pPr>
          </w:p>
        </w:tc>
        <w:tc>
          <w:tcPr>
            <w:tcW w:w="0" w:type="auto"/>
          </w:tcPr>
          <w:p w14:paraId="4FD96002" w14:textId="77777777" w:rsidR="00030303" w:rsidRPr="00834BF0" w:rsidRDefault="00030303" w:rsidP="00030303">
            <w:pPr>
              <w:rPr>
                <w:rFonts w:cs="Times New Roman"/>
                <w:sz w:val="19"/>
                <w:szCs w:val="19"/>
              </w:rPr>
            </w:pPr>
            <w:r w:rsidRPr="00834BF0">
              <w:rPr>
                <w:rFonts w:cs="Times New Roman"/>
                <w:sz w:val="19"/>
                <w:szCs w:val="19"/>
              </w:rPr>
              <w:lastRenderedPageBreak/>
              <w:t xml:space="preserve">Part 7 of the Act provides for the Governor, by regulation, to establish a community visitor scheme relating to the Act. However, no such scheme has yet been prescribed, and the </w:t>
            </w:r>
            <w:r w:rsidRPr="00834BF0">
              <w:rPr>
                <w:rFonts w:cs="Times New Roman"/>
                <w:i/>
                <w:sz w:val="19"/>
                <w:szCs w:val="19"/>
              </w:rPr>
              <w:t>Disability Services (Community Visitor Scheme) Regulations 2013</w:t>
            </w:r>
            <w:r w:rsidRPr="00834BF0">
              <w:rPr>
                <w:rFonts w:cs="Times New Roman"/>
                <w:sz w:val="19"/>
                <w:szCs w:val="19"/>
              </w:rPr>
              <w:t xml:space="preserve"> (SA) made </w:t>
            </w:r>
            <w:r w:rsidRPr="00834BF0">
              <w:rPr>
                <w:rFonts w:cs="Times New Roman"/>
                <w:sz w:val="19"/>
                <w:szCs w:val="19"/>
              </w:rPr>
              <w:lastRenderedPageBreak/>
              <w:t>under the 1993 Act continue to apply instead.</w:t>
            </w:r>
          </w:p>
          <w:p w14:paraId="61450AFC" w14:textId="77777777" w:rsidR="00030303" w:rsidRPr="00834BF0" w:rsidRDefault="00030303" w:rsidP="00030303">
            <w:pPr>
              <w:rPr>
                <w:rFonts w:cs="Times New Roman"/>
                <w:sz w:val="19"/>
                <w:szCs w:val="19"/>
              </w:rPr>
            </w:pPr>
            <w:r w:rsidRPr="00834BF0">
              <w:rPr>
                <w:rFonts w:cs="Times New Roman"/>
                <w:sz w:val="19"/>
                <w:szCs w:val="19"/>
              </w:rPr>
              <w:t xml:space="preserve">Under the 1993 scheme, community visitors may visit ‘disability accommodation premises’ and ‘day </w:t>
            </w:r>
            <w:proofErr w:type="gramStart"/>
            <w:r w:rsidRPr="00834BF0">
              <w:rPr>
                <w:rFonts w:cs="Times New Roman"/>
                <w:sz w:val="19"/>
                <w:szCs w:val="19"/>
              </w:rPr>
              <w:t>options programs’</w:t>
            </w:r>
            <w:proofErr w:type="gramEnd"/>
            <w:r w:rsidRPr="00834BF0">
              <w:rPr>
                <w:rFonts w:cs="Times New Roman"/>
                <w:sz w:val="19"/>
                <w:szCs w:val="19"/>
              </w:rPr>
              <w:t xml:space="preserve">. The former refers to any premises at which a State-funded disability services provider is providing accommodation services to people with disability (including short term </w:t>
            </w:r>
            <w:r w:rsidRPr="00834BF0">
              <w:rPr>
                <w:rFonts w:cs="Times New Roman"/>
                <w:sz w:val="19"/>
                <w:szCs w:val="19"/>
              </w:rPr>
              <w:lastRenderedPageBreak/>
              <w:t>accommodation, such as respite care). A day options program is a daytime program provided to an eligible person at premises other than their usual place of residence for the purpose of developing life-skills, further learning or recreation.</w:t>
            </w:r>
            <w:r w:rsidRPr="00834BF0">
              <w:rPr>
                <w:rFonts w:cs="Times New Roman"/>
                <w:sz w:val="19"/>
                <w:szCs w:val="19"/>
              </w:rPr>
              <w:footnoteReference w:id="206"/>
            </w:r>
            <w:r w:rsidRPr="00834BF0">
              <w:rPr>
                <w:rFonts w:cs="Times New Roman"/>
                <w:sz w:val="19"/>
                <w:szCs w:val="19"/>
              </w:rPr>
              <w:t xml:space="preserve"> Accordingly, visitors cannot </w:t>
            </w:r>
            <w:r w:rsidRPr="00834BF0">
              <w:rPr>
                <w:rFonts w:cs="Times New Roman"/>
                <w:sz w:val="19"/>
                <w:szCs w:val="19"/>
              </w:rPr>
              <w:lastRenderedPageBreak/>
              <w:t>attend private homes.</w:t>
            </w:r>
          </w:p>
          <w:p w14:paraId="30C352B8" w14:textId="77777777" w:rsidR="00030303" w:rsidRPr="00834BF0" w:rsidRDefault="00030303" w:rsidP="00030303">
            <w:pPr>
              <w:numPr>
                <w:ilvl w:val="0"/>
                <w:numId w:val="14"/>
              </w:numPr>
              <w:spacing w:after="0" w:line="240" w:lineRule="auto"/>
              <w:rPr>
                <w:rFonts w:cs="Times New Roman"/>
                <w:sz w:val="19"/>
                <w:szCs w:val="19"/>
              </w:rPr>
            </w:pPr>
            <w:r w:rsidRPr="00834BF0">
              <w:rPr>
                <w:rFonts w:cs="Times New Roman"/>
                <w:sz w:val="19"/>
                <w:szCs w:val="19"/>
              </w:rPr>
              <w:t>Community visitors are to visit such premises and inquire into matters such as:</w:t>
            </w:r>
          </w:p>
          <w:p w14:paraId="50492945" w14:textId="77777777" w:rsidR="00030303" w:rsidRPr="00834BF0" w:rsidRDefault="00030303" w:rsidP="00030303">
            <w:pPr>
              <w:numPr>
                <w:ilvl w:val="4"/>
                <w:numId w:val="14"/>
              </w:numPr>
              <w:spacing w:after="0" w:line="240" w:lineRule="auto"/>
              <w:rPr>
                <w:rFonts w:cs="Times New Roman"/>
                <w:sz w:val="19"/>
                <w:szCs w:val="19"/>
              </w:rPr>
            </w:pPr>
            <w:r w:rsidRPr="00834BF0">
              <w:rPr>
                <w:rFonts w:cs="Times New Roman"/>
                <w:sz w:val="19"/>
                <w:szCs w:val="19"/>
              </w:rPr>
              <w:t>the appropriateness and standard of the premises;</w:t>
            </w:r>
          </w:p>
          <w:p w14:paraId="21C12066" w14:textId="77777777" w:rsidR="00030303" w:rsidRPr="00834BF0" w:rsidRDefault="00030303" w:rsidP="00030303">
            <w:pPr>
              <w:numPr>
                <w:ilvl w:val="4"/>
                <w:numId w:val="14"/>
              </w:numPr>
              <w:spacing w:after="0" w:line="240" w:lineRule="auto"/>
              <w:rPr>
                <w:rFonts w:cs="Times New Roman"/>
                <w:sz w:val="19"/>
                <w:szCs w:val="19"/>
              </w:rPr>
            </w:pPr>
            <w:r w:rsidRPr="00834BF0">
              <w:rPr>
                <w:rFonts w:cs="Times New Roman"/>
                <w:sz w:val="19"/>
                <w:szCs w:val="19"/>
              </w:rPr>
              <w:t>whether the relevant services are being provided in accordance with the principles and objectives of the Act;</w:t>
            </w:r>
          </w:p>
          <w:p w14:paraId="0904A4DA" w14:textId="77777777" w:rsidR="00030303" w:rsidRPr="00834BF0" w:rsidRDefault="00030303" w:rsidP="00030303">
            <w:pPr>
              <w:numPr>
                <w:ilvl w:val="4"/>
                <w:numId w:val="14"/>
              </w:numPr>
              <w:spacing w:after="0" w:line="240" w:lineRule="auto"/>
              <w:rPr>
                <w:rFonts w:cs="Times New Roman"/>
                <w:sz w:val="19"/>
                <w:szCs w:val="19"/>
              </w:rPr>
            </w:pPr>
            <w:r w:rsidRPr="00834BF0">
              <w:rPr>
                <w:rFonts w:cs="Times New Roman"/>
                <w:sz w:val="19"/>
                <w:szCs w:val="19"/>
              </w:rPr>
              <w:lastRenderedPageBreak/>
              <w:t>any cases of abuse or neglect (or suspicions thereof);</w:t>
            </w:r>
          </w:p>
          <w:p w14:paraId="1234F0BA" w14:textId="77777777" w:rsidR="00030303" w:rsidRPr="00834BF0" w:rsidRDefault="00030303" w:rsidP="00030303">
            <w:pPr>
              <w:numPr>
                <w:ilvl w:val="4"/>
                <w:numId w:val="14"/>
              </w:numPr>
              <w:spacing w:after="0" w:line="240" w:lineRule="auto"/>
              <w:rPr>
                <w:rFonts w:cs="Times New Roman"/>
                <w:sz w:val="19"/>
                <w:szCs w:val="19"/>
              </w:rPr>
            </w:pPr>
            <w:r w:rsidRPr="00834BF0">
              <w:rPr>
                <w:rFonts w:cs="Times New Roman"/>
                <w:sz w:val="19"/>
                <w:szCs w:val="19"/>
              </w:rPr>
              <w:t>the use of restrictive interventions and compulsory treatment;</w:t>
            </w:r>
          </w:p>
          <w:p w14:paraId="1403C586" w14:textId="77777777" w:rsidR="00030303" w:rsidRPr="00834BF0" w:rsidRDefault="00030303" w:rsidP="00030303">
            <w:pPr>
              <w:numPr>
                <w:ilvl w:val="4"/>
                <w:numId w:val="14"/>
              </w:numPr>
              <w:tabs>
                <w:tab w:val="num" w:pos="425"/>
              </w:tabs>
              <w:spacing w:after="0" w:line="240" w:lineRule="auto"/>
              <w:rPr>
                <w:rFonts w:cs="Times New Roman"/>
                <w:sz w:val="19"/>
                <w:szCs w:val="19"/>
              </w:rPr>
            </w:pPr>
            <w:r w:rsidRPr="00834BF0">
              <w:rPr>
                <w:rFonts w:cs="Times New Roman"/>
                <w:sz w:val="19"/>
                <w:szCs w:val="19"/>
              </w:rPr>
              <w:t xml:space="preserve">any failure to comply with the Act or a performance agreement between the provider and the Minister; and </w:t>
            </w:r>
          </w:p>
          <w:p w14:paraId="6FBD50C3" w14:textId="77777777" w:rsidR="00030303" w:rsidRPr="00834BF0" w:rsidRDefault="00030303" w:rsidP="00030303">
            <w:pPr>
              <w:numPr>
                <w:ilvl w:val="4"/>
                <w:numId w:val="14"/>
              </w:numPr>
              <w:spacing w:after="0" w:line="240" w:lineRule="auto"/>
              <w:rPr>
                <w:rFonts w:cs="Times New Roman"/>
                <w:sz w:val="19"/>
                <w:szCs w:val="19"/>
              </w:rPr>
            </w:pPr>
            <w:r w:rsidRPr="00834BF0">
              <w:rPr>
                <w:rFonts w:cs="Times New Roman"/>
                <w:sz w:val="19"/>
                <w:szCs w:val="19"/>
              </w:rPr>
              <w:t>any complaints made to the visitor.</w:t>
            </w:r>
            <w:r w:rsidRPr="00834BF0">
              <w:rPr>
                <w:rFonts w:cs="Times New Roman"/>
                <w:sz w:val="19"/>
                <w:szCs w:val="19"/>
                <w:vertAlign w:val="superscript"/>
              </w:rPr>
              <w:footnoteReference w:id="207"/>
            </w:r>
          </w:p>
          <w:p w14:paraId="4CD033B0" w14:textId="77777777" w:rsidR="00030303" w:rsidRPr="00834BF0" w:rsidRDefault="00030303" w:rsidP="00030303">
            <w:pPr>
              <w:rPr>
                <w:rFonts w:cs="Times New Roman"/>
                <w:sz w:val="19"/>
                <w:szCs w:val="19"/>
              </w:rPr>
            </w:pPr>
            <w:r w:rsidRPr="00834BF0">
              <w:rPr>
                <w:rFonts w:cs="Times New Roman"/>
                <w:sz w:val="19"/>
                <w:szCs w:val="19"/>
              </w:rPr>
              <w:t xml:space="preserve">Visitors are also to refer matters of concern </w:t>
            </w:r>
            <w:r w:rsidRPr="00834BF0">
              <w:rPr>
                <w:rFonts w:cs="Times New Roman"/>
                <w:sz w:val="19"/>
                <w:szCs w:val="19"/>
              </w:rPr>
              <w:lastRenderedPageBreak/>
              <w:t>relating to the organisation or delivery of disability services in South Australia to the Minister, and act as advocates for residents and program attendees to resolve issues relating to their care, treatment or control.</w:t>
            </w:r>
            <w:r w:rsidRPr="00834BF0">
              <w:rPr>
                <w:rFonts w:cs="Times New Roman"/>
                <w:sz w:val="19"/>
                <w:szCs w:val="19"/>
                <w:vertAlign w:val="superscript"/>
              </w:rPr>
              <w:footnoteReference w:id="208"/>
            </w:r>
          </w:p>
          <w:p w14:paraId="6A5BC1AC" w14:textId="77777777" w:rsidR="00030303" w:rsidRPr="00834BF0" w:rsidRDefault="00030303" w:rsidP="00030303">
            <w:pPr>
              <w:numPr>
                <w:ilvl w:val="0"/>
                <w:numId w:val="14"/>
              </w:numPr>
              <w:spacing w:after="0" w:line="240" w:lineRule="auto"/>
              <w:rPr>
                <w:rFonts w:cs="Times New Roman"/>
                <w:sz w:val="19"/>
                <w:szCs w:val="19"/>
              </w:rPr>
            </w:pPr>
            <w:bookmarkStart w:id="43" w:name="_Ref51082901"/>
            <w:r w:rsidRPr="00834BF0">
              <w:rPr>
                <w:rFonts w:cs="Times New Roman"/>
                <w:sz w:val="19"/>
                <w:szCs w:val="19"/>
              </w:rPr>
              <w:t xml:space="preserve">In practice, the relevance of this scheme has diminished since the rollout of the NDIS in South Australia, and </w:t>
            </w:r>
            <w:r w:rsidRPr="00834BF0">
              <w:rPr>
                <w:rFonts w:cs="Times New Roman"/>
                <w:sz w:val="19"/>
                <w:szCs w:val="19"/>
              </w:rPr>
              <w:lastRenderedPageBreak/>
              <w:t>visitors only attend State-funded accommodation sites.</w:t>
            </w:r>
            <w:r w:rsidRPr="00834BF0">
              <w:rPr>
                <w:rFonts w:cs="Times New Roman"/>
                <w:sz w:val="19"/>
                <w:szCs w:val="19"/>
                <w:vertAlign w:val="superscript"/>
              </w:rPr>
              <w:footnoteReference w:id="209"/>
            </w:r>
            <w:r w:rsidRPr="00834BF0">
              <w:rPr>
                <w:rFonts w:cs="Times New Roman"/>
                <w:sz w:val="19"/>
                <w:szCs w:val="19"/>
              </w:rPr>
              <w:t xml:space="preserve"> </w:t>
            </w:r>
            <w:bookmarkEnd w:id="43"/>
          </w:p>
          <w:p w14:paraId="5D21E269" w14:textId="77777777" w:rsidR="00030303" w:rsidRPr="00834BF0" w:rsidRDefault="00030303" w:rsidP="00030303">
            <w:pPr>
              <w:rPr>
                <w:rFonts w:cs="Times New Roman"/>
                <w:sz w:val="19"/>
                <w:szCs w:val="19"/>
              </w:rPr>
            </w:pPr>
          </w:p>
        </w:tc>
        <w:tc>
          <w:tcPr>
            <w:tcW w:w="0" w:type="auto"/>
          </w:tcPr>
          <w:p w14:paraId="77F7CACE" w14:textId="77777777" w:rsidR="00030303" w:rsidRPr="00834BF0" w:rsidRDefault="00030303" w:rsidP="00030303">
            <w:pPr>
              <w:rPr>
                <w:rFonts w:cs="Times New Roman"/>
                <w:sz w:val="19"/>
                <w:szCs w:val="19"/>
              </w:rPr>
            </w:pPr>
            <w:r w:rsidRPr="00834BF0">
              <w:rPr>
                <w:rFonts w:cs="Times New Roman"/>
                <w:sz w:val="19"/>
                <w:szCs w:val="19"/>
              </w:rPr>
              <w:lastRenderedPageBreak/>
              <w:t xml:space="preserve">Tasmania does not have statutory community visitor schemes for disability services generally. However, it does have a scheme for mental health facilities under the </w:t>
            </w:r>
            <w:r w:rsidRPr="00834BF0">
              <w:rPr>
                <w:rFonts w:cs="Times New Roman"/>
                <w:i/>
                <w:sz w:val="19"/>
                <w:szCs w:val="19"/>
              </w:rPr>
              <w:t>Mental Health Act 2013</w:t>
            </w:r>
            <w:r w:rsidRPr="00834BF0">
              <w:rPr>
                <w:rFonts w:cs="Times New Roman"/>
                <w:sz w:val="19"/>
                <w:szCs w:val="19"/>
              </w:rPr>
              <w:t xml:space="preserve"> (Tas) which perform broadly similar functions to the schemes </w:t>
            </w:r>
            <w:r w:rsidRPr="00834BF0">
              <w:rPr>
                <w:rFonts w:cs="Times New Roman"/>
                <w:sz w:val="19"/>
                <w:szCs w:val="19"/>
              </w:rPr>
              <w:lastRenderedPageBreak/>
              <w:t>outlined for other jurisdictions.</w:t>
            </w:r>
            <w:r w:rsidRPr="00834BF0">
              <w:rPr>
                <w:rFonts w:ascii="Arial" w:hAnsi="Arial" w:cs="Arial"/>
                <w:sz w:val="19"/>
                <w:szCs w:val="19"/>
                <w:vertAlign w:val="superscript"/>
              </w:rPr>
              <w:footnoteReference w:id="210"/>
            </w:r>
          </w:p>
        </w:tc>
        <w:tc>
          <w:tcPr>
            <w:tcW w:w="0" w:type="auto"/>
          </w:tcPr>
          <w:p w14:paraId="782C39EB" w14:textId="77777777" w:rsidR="00030303" w:rsidRPr="00834BF0" w:rsidRDefault="00030303" w:rsidP="00030303">
            <w:pPr>
              <w:numPr>
                <w:ilvl w:val="0"/>
                <w:numId w:val="14"/>
              </w:numPr>
              <w:spacing w:after="0" w:line="240" w:lineRule="auto"/>
              <w:rPr>
                <w:rFonts w:cs="Times New Roman"/>
                <w:sz w:val="19"/>
                <w:szCs w:val="19"/>
              </w:rPr>
            </w:pPr>
            <w:r w:rsidRPr="00834BF0">
              <w:rPr>
                <w:rFonts w:cs="Times New Roman"/>
                <w:sz w:val="19"/>
                <w:szCs w:val="19"/>
              </w:rPr>
              <w:lastRenderedPageBreak/>
              <w:t xml:space="preserve">The two most relevant community visitor schemes in Victoria are those established under the </w:t>
            </w:r>
            <w:r w:rsidRPr="00834BF0">
              <w:rPr>
                <w:rFonts w:cs="Times New Roman"/>
                <w:i/>
                <w:sz w:val="19"/>
                <w:szCs w:val="19"/>
              </w:rPr>
              <w:t>Supported Residential Services (Private Proprietors) Act 2010</w:t>
            </w:r>
            <w:r w:rsidRPr="00834BF0">
              <w:rPr>
                <w:rFonts w:cs="Times New Roman"/>
                <w:sz w:val="19"/>
                <w:szCs w:val="19"/>
              </w:rPr>
              <w:t xml:space="preserve"> (Vic) and the </w:t>
            </w:r>
            <w:r w:rsidRPr="00834BF0">
              <w:rPr>
                <w:rFonts w:cs="Times New Roman"/>
                <w:i/>
                <w:sz w:val="19"/>
                <w:szCs w:val="19"/>
              </w:rPr>
              <w:t xml:space="preserve">Disability Act 2006 </w:t>
            </w:r>
            <w:r w:rsidRPr="00834BF0">
              <w:rPr>
                <w:rFonts w:cs="Times New Roman"/>
                <w:sz w:val="19"/>
                <w:szCs w:val="19"/>
              </w:rPr>
              <w:t>(Vic).</w:t>
            </w:r>
          </w:p>
          <w:p w14:paraId="53B6DA97" w14:textId="77777777" w:rsidR="00030303" w:rsidRPr="00834BF0" w:rsidRDefault="00030303" w:rsidP="00030303">
            <w:pPr>
              <w:rPr>
                <w:rFonts w:cs="Times New Roman"/>
                <w:sz w:val="19"/>
                <w:szCs w:val="19"/>
              </w:rPr>
            </w:pPr>
          </w:p>
          <w:p w14:paraId="28ECB430" w14:textId="77777777" w:rsidR="00030303" w:rsidRPr="00834BF0" w:rsidRDefault="00030303" w:rsidP="00030303">
            <w:pPr>
              <w:rPr>
                <w:rFonts w:cs="Times New Roman"/>
                <w:sz w:val="19"/>
                <w:szCs w:val="19"/>
              </w:rPr>
            </w:pPr>
            <w:r w:rsidRPr="00834BF0">
              <w:rPr>
                <w:rFonts w:cs="Times New Roman"/>
                <w:sz w:val="19"/>
                <w:szCs w:val="19"/>
              </w:rPr>
              <w:t>The</w:t>
            </w:r>
            <w:r w:rsidRPr="00834BF0">
              <w:rPr>
                <w:rFonts w:cs="Times New Roman"/>
                <w:i/>
                <w:sz w:val="19"/>
                <w:szCs w:val="19"/>
              </w:rPr>
              <w:t xml:space="preserve"> Supported Residential Services (Private Proprietors) Act 2010</w:t>
            </w:r>
            <w:r w:rsidRPr="00834BF0">
              <w:rPr>
                <w:rFonts w:cs="Times New Roman"/>
                <w:sz w:val="19"/>
                <w:szCs w:val="19"/>
              </w:rPr>
              <w:t xml:space="preserve"> (Vic) broadly </w:t>
            </w:r>
            <w:r w:rsidRPr="00834BF0">
              <w:rPr>
                <w:rFonts w:cs="Times New Roman"/>
                <w:sz w:val="19"/>
                <w:szCs w:val="19"/>
              </w:rPr>
              <w:lastRenderedPageBreak/>
              <w:t xml:space="preserve">deals with the provision of supported accommodation by private entities for people with disability and others. It does not apply to residential services covered by the </w:t>
            </w:r>
            <w:r w:rsidRPr="00834BF0">
              <w:rPr>
                <w:rFonts w:cs="Times New Roman"/>
                <w:i/>
                <w:sz w:val="19"/>
                <w:szCs w:val="19"/>
              </w:rPr>
              <w:t>Disability Act 2006</w:t>
            </w:r>
            <w:r w:rsidRPr="00834BF0">
              <w:rPr>
                <w:rFonts w:cs="Times New Roman"/>
                <w:sz w:val="19"/>
                <w:szCs w:val="19"/>
              </w:rPr>
              <w:t xml:space="preserve"> (Vic), or SDA enrolled dwellings under the NDIS. </w:t>
            </w:r>
          </w:p>
          <w:p w14:paraId="1BC96D68" w14:textId="77777777" w:rsidR="00030303" w:rsidRPr="00834BF0" w:rsidRDefault="00030303" w:rsidP="00030303">
            <w:pPr>
              <w:numPr>
                <w:ilvl w:val="0"/>
                <w:numId w:val="14"/>
              </w:numPr>
              <w:spacing w:after="0" w:line="240" w:lineRule="auto"/>
              <w:rPr>
                <w:rFonts w:cs="Times New Roman"/>
                <w:sz w:val="19"/>
                <w:szCs w:val="19"/>
              </w:rPr>
            </w:pPr>
            <w:r w:rsidRPr="00834BF0">
              <w:rPr>
                <w:rFonts w:cs="Times New Roman"/>
                <w:sz w:val="19"/>
                <w:szCs w:val="19"/>
              </w:rPr>
              <w:t>Visitors may attend any supported residential service in the region for which they are appointed, and determine:</w:t>
            </w:r>
          </w:p>
          <w:p w14:paraId="1976EBB3" w14:textId="77777777" w:rsidR="00030303" w:rsidRPr="00834BF0" w:rsidRDefault="00030303" w:rsidP="00030303">
            <w:pPr>
              <w:numPr>
                <w:ilvl w:val="4"/>
                <w:numId w:val="14"/>
              </w:numPr>
              <w:spacing w:after="0" w:line="240" w:lineRule="auto"/>
              <w:rPr>
                <w:rFonts w:cs="Times New Roman"/>
                <w:sz w:val="19"/>
                <w:szCs w:val="19"/>
              </w:rPr>
            </w:pPr>
            <w:r w:rsidRPr="00834BF0">
              <w:rPr>
                <w:rFonts w:cs="Times New Roman"/>
                <w:sz w:val="19"/>
                <w:szCs w:val="19"/>
              </w:rPr>
              <w:t xml:space="preserve">whether services are being delivered </w:t>
            </w:r>
            <w:r w:rsidRPr="00834BF0">
              <w:rPr>
                <w:rFonts w:cs="Times New Roman"/>
                <w:sz w:val="19"/>
                <w:szCs w:val="19"/>
              </w:rPr>
              <w:lastRenderedPageBreak/>
              <w:t>to residents in accordance with the principles and standards set by the Act;</w:t>
            </w:r>
          </w:p>
          <w:p w14:paraId="023CFF5C" w14:textId="77777777" w:rsidR="00030303" w:rsidRPr="00834BF0" w:rsidRDefault="00030303" w:rsidP="00030303">
            <w:pPr>
              <w:numPr>
                <w:ilvl w:val="4"/>
                <w:numId w:val="14"/>
              </w:numPr>
              <w:spacing w:after="0" w:line="240" w:lineRule="auto"/>
              <w:rPr>
                <w:rFonts w:cs="Times New Roman"/>
                <w:sz w:val="19"/>
                <w:szCs w:val="19"/>
              </w:rPr>
            </w:pPr>
            <w:r w:rsidRPr="00834BF0">
              <w:rPr>
                <w:rFonts w:cs="Times New Roman"/>
                <w:sz w:val="19"/>
                <w:szCs w:val="19"/>
              </w:rPr>
              <w:t>the status of any complaint made by or on behalf of a resident and the progress of its resolution; and</w:t>
            </w:r>
          </w:p>
          <w:p w14:paraId="791D0AEA" w14:textId="77777777" w:rsidR="00030303" w:rsidRPr="00834BF0" w:rsidRDefault="00030303" w:rsidP="00030303">
            <w:pPr>
              <w:numPr>
                <w:ilvl w:val="4"/>
                <w:numId w:val="14"/>
              </w:numPr>
              <w:spacing w:after="0" w:line="240" w:lineRule="auto"/>
              <w:rPr>
                <w:rFonts w:cs="Times New Roman"/>
                <w:sz w:val="19"/>
                <w:szCs w:val="19"/>
              </w:rPr>
            </w:pPr>
            <w:r w:rsidRPr="00834BF0">
              <w:rPr>
                <w:rFonts w:cs="Times New Roman"/>
                <w:sz w:val="19"/>
                <w:szCs w:val="19"/>
              </w:rPr>
              <w:t>any other issue or concern raised by or on behalf of a resident.</w:t>
            </w:r>
            <w:r w:rsidRPr="00834BF0">
              <w:rPr>
                <w:rFonts w:cs="Times New Roman"/>
                <w:sz w:val="19"/>
                <w:szCs w:val="19"/>
                <w:vertAlign w:val="superscript"/>
              </w:rPr>
              <w:footnoteReference w:id="211"/>
            </w:r>
          </w:p>
          <w:p w14:paraId="6A38B070" w14:textId="77777777" w:rsidR="00030303" w:rsidRPr="00834BF0" w:rsidRDefault="00030303" w:rsidP="00030303">
            <w:pPr>
              <w:rPr>
                <w:rFonts w:cs="Times New Roman"/>
                <w:sz w:val="19"/>
                <w:szCs w:val="19"/>
              </w:rPr>
            </w:pPr>
            <w:r w:rsidRPr="00834BF0">
              <w:rPr>
                <w:rFonts w:cs="Times New Roman"/>
                <w:sz w:val="19"/>
                <w:szCs w:val="19"/>
              </w:rPr>
              <w:t xml:space="preserve">Community visitors can attend without </w:t>
            </w:r>
            <w:r w:rsidRPr="00834BF0">
              <w:rPr>
                <w:rFonts w:cs="Times New Roman"/>
                <w:sz w:val="19"/>
                <w:szCs w:val="19"/>
              </w:rPr>
              <w:lastRenderedPageBreak/>
              <w:t>notice, for any period they think fit.</w:t>
            </w:r>
            <w:r w:rsidRPr="00834BF0">
              <w:rPr>
                <w:rFonts w:ascii="Arial" w:hAnsi="Arial" w:cs="Arial"/>
                <w:sz w:val="19"/>
                <w:szCs w:val="19"/>
                <w:vertAlign w:val="superscript"/>
              </w:rPr>
              <w:footnoteReference w:id="212"/>
            </w:r>
            <w:r w:rsidRPr="00834BF0">
              <w:rPr>
                <w:rFonts w:cs="Times New Roman"/>
                <w:sz w:val="19"/>
                <w:szCs w:val="19"/>
              </w:rPr>
              <w:t xml:space="preserve"> During a visit, a visitor may look at any part of the relevant premises, speak with residents, question employees and examine certain records.</w:t>
            </w:r>
            <w:r w:rsidRPr="00834BF0">
              <w:rPr>
                <w:rFonts w:ascii="Arial" w:hAnsi="Arial" w:cs="Arial"/>
                <w:sz w:val="19"/>
                <w:szCs w:val="19"/>
                <w:vertAlign w:val="superscript"/>
              </w:rPr>
              <w:footnoteReference w:id="213"/>
            </w:r>
            <w:r w:rsidRPr="00834BF0">
              <w:rPr>
                <w:rFonts w:cs="Times New Roman"/>
                <w:sz w:val="19"/>
                <w:szCs w:val="19"/>
              </w:rPr>
              <w:t xml:space="preserve"> Proprietors and staff cannot obstruct or unreasonably refuse to assist community visitors, and must answer their questions.</w:t>
            </w:r>
            <w:r w:rsidRPr="00834BF0">
              <w:rPr>
                <w:rFonts w:ascii="Arial" w:hAnsi="Arial" w:cs="Arial"/>
                <w:sz w:val="19"/>
                <w:szCs w:val="19"/>
                <w:vertAlign w:val="superscript"/>
              </w:rPr>
              <w:footnoteReference w:id="214"/>
            </w:r>
          </w:p>
          <w:p w14:paraId="1BD5AC28" w14:textId="77777777" w:rsidR="00030303" w:rsidRPr="00834BF0" w:rsidRDefault="00030303" w:rsidP="00030303">
            <w:pPr>
              <w:rPr>
                <w:rFonts w:cs="Times New Roman"/>
                <w:sz w:val="19"/>
                <w:szCs w:val="19"/>
              </w:rPr>
            </w:pPr>
            <w:r w:rsidRPr="00834BF0">
              <w:rPr>
                <w:rFonts w:cs="Times New Roman"/>
                <w:sz w:val="19"/>
                <w:szCs w:val="19"/>
              </w:rPr>
              <w:t xml:space="preserve">Community visitors report to </w:t>
            </w:r>
            <w:r w:rsidRPr="00834BF0">
              <w:rPr>
                <w:rFonts w:cs="Times New Roman"/>
                <w:sz w:val="19"/>
                <w:szCs w:val="19"/>
              </w:rPr>
              <w:lastRenderedPageBreak/>
              <w:t>the Public Advocate and Minister.</w:t>
            </w:r>
            <w:r w:rsidRPr="00834BF0">
              <w:rPr>
                <w:rFonts w:ascii="Arial" w:hAnsi="Arial" w:cs="Arial"/>
                <w:sz w:val="19"/>
                <w:szCs w:val="19"/>
                <w:vertAlign w:val="superscript"/>
              </w:rPr>
              <w:footnoteReference w:id="215"/>
            </w:r>
            <w:r w:rsidRPr="00834BF0">
              <w:rPr>
                <w:rFonts w:cs="Times New Roman"/>
                <w:sz w:val="19"/>
                <w:szCs w:val="19"/>
              </w:rPr>
              <w:t xml:space="preserve"> </w:t>
            </w:r>
          </w:p>
          <w:p w14:paraId="6F3A2A7C" w14:textId="77777777" w:rsidR="00030303" w:rsidRPr="00834BF0" w:rsidRDefault="00030303" w:rsidP="00030303">
            <w:pPr>
              <w:rPr>
                <w:rFonts w:cs="Times New Roman"/>
                <w:sz w:val="19"/>
                <w:szCs w:val="19"/>
              </w:rPr>
            </w:pPr>
          </w:p>
          <w:p w14:paraId="257CBA7B" w14:textId="77777777" w:rsidR="00030303" w:rsidRPr="00834BF0" w:rsidRDefault="00030303" w:rsidP="00030303">
            <w:pPr>
              <w:rPr>
                <w:rFonts w:cs="Times New Roman"/>
                <w:sz w:val="19"/>
                <w:szCs w:val="19"/>
              </w:rPr>
            </w:pPr>
            <w:r w:rsidRPr="00834BF0">
              <w:rPr>
                <w:rFonts w:cs="Times New Roman"/>
                <w:sz w:val="19"/>
                <w:szCs w:val="19"/>
              </w:rPr>
              <w:t xml:space="preserve">The </w:t>
            </w:r>
            <w:r w:rsidRPr="00834BF0">
              <w:rPr>
                <w:rFonts w:cs="Times New Roman"/>
                <w:i/>
                <w:sz w:val="19"/>
                <w:szCs w:val="19"/>
              </w:rPr>
              <w:t xml:space="preserve">Disability Act 2006 </w:t>
            </w:r>
            <w:r w:rsidRPr="00834BF0">
              <w:rPr>
                <w:rFonts w:cs="Times New Roman"/>
                <w:sz w:val="19"/>
                <w:szCs w:val="19"/>
              </w:rPr>
              <w:t>(Vic) also establishes a community visitor scheme.</w:t>
            </w:r>
          </w:p>
          <w:p w14:paraId="3D0AB5A9" w14:textId="77777777" w:rsidR="00030303" w:rsidRPr="00834BF0" w:rsidRDefault="00030303" w:rsidP="00030303">
            <w:pPr>
              <w:numPr>
                <w:ilvl w:val="0"/>
                <w:numId w:val="14"/>
              </w:numPr>
              <w:spacing w:after="0" w:line="240" w:lineRule="auto"/>
              <w:rPr>
                <w:rFonts w:cs="Times New Roman"/>
                <w:sz w:val="19"/>
                <w:szCs w:val="19"/>
              </w:rPr>
            </w:pPr>
            <w:r w:rsidRPr="00834BF0">
              <w:rPr>
                <w:rFonts w:cs="Times New Roman"/>
                <w:sz w:val="19"/>
                <w:szCs w:val="19"/>
              </w:rPr>
              <w:t>Community visitors are responsible for visiting:</w:t>
            </w:r>
          </w:p>
          <w:p w14:paraId="5EE7D7FA" w14:textId="77777777" w:rsidR="00030303" w:rsidRPr="00834BF0" w:rsidRDefault="00030303" w:rsidP="00030303">
            <w:pPr>
              <w:numPr>
                <w:ilvl w:val="4"/>
                <w:numId w:val="14"/>
              </w:numPr>
              <w:spacing w:after="0" w:line="240" w:lineRule="auto"/>
              <w:rPr>
                <w:rFonts w:cs="Times New Roman"/>
                <w:sz w:val="19"/>
                <w:szCs w:val="19"/>
              </w:rPr>
            </w:pPr>
            <w:r w:rsidRPr="00834BF0">
              <w:rPr>
                <w:rFonts w:cs="Times New Roman"/>
                <w:sz w:val="19"/>
                <w:szCs w:val="19"/>
              </w:rPr>
              <w:t xml:space="preserve">any premises where a State-registered disability service provider is providing residential services; and </w:t>
            </w:r>
          </w:p>
          <w:p w14:paraId="7F558BE0" w14:textId="77777777" w:rsidR="00030303" w:rsidRPr="00834BF0" w:rsidRDefault="00030303" w:rsidP="00030303">
            <w:pPr>
              <w:numPr>
                <w:ilvl w:val="4"/>
                <w:numId w:val="14"/>
              </w:numPr>
              <w:spacing w:after="0" w:line="240" w:lineRule="auto"/>
              <w:rPr>
                <w:rFonts w:cs="Times New Roman"/>
                <w:sz w:val="19"/>
                <w:szCs w:val="19"/>
              </w:rPr>
            </w:pPr>
            <w:r w:rsidRPr="00834BF0">
              <w:rPr>
                <w:rFonts w:cs="Times New Roman"/>
                <w:sz w:val="19"/>
                <w:szCs w:val="19"/>
              </w:rPr>
              <w:lastRenderedPageBreak/>
              <w:t xml:space="preserve">‘SDA enrolled dwellings’ housing ‘SDA residents’; and </w:t>
            </w:r>
          </w:p>
          <w:p w14:paraId="0FE40C76" w14:textId="77777777" w:rsidR="00030303" w:rsidRPr="00834BF0" w:rsidRDefault="00030303" w:rsidP="00030303">
            <w:pPr>
              <w:numPr>
                <w:ilvl w:val="4"/>
                <w:numId w:val="14"/>
              </w:numPr>
              <w:spacing w:after="0" w:line="240" w:lineRule="auto"/>
              <w:rPr>
                <w:rFonts w:cs="Times New Roman"/>
                <w:sz w:val="19"/>
                <w:szCs w:val="19"/>
              </w:rPr>
            </w:pPr>
            <w:r w:rsidRPr="00834BF0">
              <w:rPr>
                <w:rFonts w:cs="Times New Roman"/>
                <w:sz w:val="19"/>
                <w:szCs w:val="19"/>
              </w:rPr>
              <w:t>short-term accommodation and assistance dwellings at which support is provided by registered NDIS providers to NDIS participants.</w:t>
            </w:r>
            <w:r w:rsidRPr="00834BF0">
              <w:rPr>
                <w:rFonts w:cs="Times New Roman"/>
                <w:sz w:val="19"/>
                <w:szCs w:val="19"/>
                <w:vertAlign w:val="superscript"/>
              </w:rPr>
              <w:footnoteReference w:id="216"/>
            </w:r>
          </w:p>
          <w:p w14:paraId="3ABEB68D" w14:textId="77777777" w:rsidR="00030303" w:rsidRPr="00834BF0" w:rsidRDefault="00030303" w:rsidP="00030303">
            <w:pPr>
              <w:numPr>
                <w:ilvl w:val="0"/>
                <w:numId w:val="14"/>
              </w:numPr>
              <w:spacing w:after="0" w:line="240" w:lineRule="auto"/>
              <w:rPr>
                <w:rFonts w:cs="Times New Roman"/>
                <w:sz w:val="19"/>
                <w:szCs w:val="19"/>
              </w:rPr>
            </w:pPr>
            <w:r w:rsidRPr="00834BF0">
              <w:rPr>
                <w:rFonts w:cs="Times New Roman"/>
                <w:sz w:val="19"/>
                <w:szCs w:val="19"/>
              </w:rPr>
              <w:t>When visiting such premises, community visitors are to inquire into various matters, including:</w:t>
            </w:r>
          </w:p>
          <w:p w14:paraId="416E1517" w14:textId="77777777" w:rsidR="00030303" w:rsidRPr="00834BF0" w:rsidRDefault="00030303" w:rsidP="00030303">
            <w:pPr>
              <w:numPr>
                <w:ilvl w:val="4"/>
                <w:numId w:val="14"/>
              </w:numPr>
              <w:spacing w:after="0" w:line="240" w:lineRule="auto"/>
              <w:rPr>
                <w:rFonts w:cs="Times New Roman"/>
                <w:sz w:val="19"/>
                <w:szCs w:val="19"/>
              </w:rPr>
            </w:pPr>
            <w:r w:rsidRPr="00834BF0">
              <w:rPr>
                <w:rFonts w:cs="Times New Roman"/>
                <w:sz w:val="19"/>
                <w:szCs w:val="19"/>
              </w:rPr>
              <w:t xml:space="preserve">the appropriateness and standard of the premises for the </w:t>
            </w:r>
            <w:r w:rsidRPr="00834BF0">
              <w:rPr>
                <w:rFonts w:cs="Times New Roman"/>
                <w:sz w:val="19"/>
                <w:szCs w:val="19"/>
              </w:rPr>
              <w:lastRenderedPageBreak/>
              <w:t xml:space="preserve">accommodation of residents; </w:t>
            </w:r>
          </w:p>
          <w:p w14:paraId="372BF357" w14:textId="77777777" w:rsidR="00030303" w:rsidRPr="00834BF0" w:rsidRDefault="00030303" w:rsidP="00030303">
            <w:pPr>
              <w:numPr>
                <w:ilvl w:val="4"/>
                <w:numId w:val="14"/>
              </w:numPr>
              <w:spacing w:after="0" w:line="240" w:lineRule="auto"/>
              <w:rPr>
                <w:rFonts w:cs="Times New Roman"/>
                <w:sz w:val="19"/>
                <w:szCs w:val="19"/>
              </w:rPr>
            </w:pPr>
            <w:r w:rsidRPr="00834BF0">
              <w:rPr>
                <w:rFonts w:cs="Times New Roman"/>
                <w:sz w:val="19"/>
                <w:szCs w:val="19"/>
              </w:rPr>
              <w:t>whether the service is complying with relevant laws and standards;</w:t>
            </w:r>
          </w:p>
          <w:p w14:paraId="2C231E3C" w14:textId="77777777" w:rsidR="00030303" w:rsidRPr="00834BF0" w:rsidRDefault="00030303" w:rsidP="00030303">
            <w:pPr>
              <w:numPr>
                <w:ilvl w:val="4"/>
                <w:numId w:val="14"/>
              </w:numPr>
              <w:spacing w:after="0" w:line="240" w:lineRule="auto"/>
              <w:rPr>
                <w:rFonts w:cs="Times New Roman"/>
                <w:sz w:val="19"/>
                <w:szCs w:val="19"/>
              </w:rPr>
            </w:pPr>
            <w:r w:rsidRPr="00834BF0">
              <w:rPr>
                <w:rFonts w:cs="Times New Roman"/>
                <w:sz w:val="19"/>
                <w:szCs w:val="19"/>
              </w:rPr>
              <w:t xml:space="preserve">any complaints, or cases of suspected abuse or neglect; and </w:t>
            </w:r>
          </w:p>
          <w:p w14:paraId="5A4B9E2A" w14:textId="77777777" w:rsidR="00030303" w:rsidRPr="00834BF0" w:rsidRDefault="00030303" w:rsidP="00030303">
            <w:pPr>
              <w:numPr>
                <w:ilvl w:val="4"/>
                <w:numId w:val="14"/>
              </w:numPr>
              <w:spacing w:after="0" w:line="240" w:lineRule="auto"/>
              <w:rPr>
                <w:rFonts w:cs="Times New Roman"/>
                <w:sz w:val="19"/>
                <w:szCs w:val="19"/>
              </w:rPr>
            </w:pPr>
            <w:r w:rsidRPr="00834BF0">
              <w:rPr>
                <w:rFonts w:cs="Times New Roman"/>
                <w:sz w:val="19"/>
                <w:szCs w:val="19"/>
              </w:rPr>
              <w:t>the use of restrictive practices and compulsory treatment.</w:t>
            </w:r>
            <w:r w:rsidRPr="00834BF0">
              <w:rPr>
                <w:rFonts w:ascii="Arial" w:hAnsi="Arial" w:cs="Arial"/>
                <w:sz w:val="19"/>
                <w:szCs w:val="19"/>
                <w:vertAlign w:val="superscript"/>
              </w:rPr>
              <w:footnoteReference w:id="217"/>
            </w:r>
          </w:p>
          <w:p w14:paraId="21FF9E35" w14:textId="77777777" w:rsidR="00030303" w:rsidRPr="00834BF0" w:rsidRDefault="00030303" w:rsidP="00030303">
            <w:pPr>
              <w:rPr>
                <w:rFonts w:cs="Times New Roman"/>
                <w:sz w:val="19"/>
                <w:szCs w:val="19"/>
              </w:rPr>
            </w:pPr>
            <w:r w:rsidRPr="00834BF0">
              <w:rPr>
                <w:rFonts w:cs="Times New Roman"/>
                <w:sz w:val="19"/>
                <w:szCs w:val="19"/>
              </w:rPr>
              <w:t xml:space="preserve">The Act also continues in existence the Community Visitors Board, which is responsible for representing visitors, explaining their role to the public, </w:t>
            </w:r>
            <w:r w:rsidRPr="00834BF0">
              <w:rPr>
                <w:rFonts w:cs="Times New Roman"/>
                <w:sz w:val="19"/>
                <w:szCs w:val="19"/>
              </w:rPr>
              <w:lastRenderedPageBreak/>
              <w:t>and reporting to the Public Advocate or Minister on certain matters.</w:t>
            </w:r>
            <w:r w:rsidRPr="00834BF0">
              <w:rPr>
                <w:rFonts w:cs="Times New Roman"/>
                <w:sz w:val="19"/>
                <w:szCs w:val="19"/>
                <w:vertAlign w:val="superscript"/>
              </w:rPr>
              <w:footnoteReference w:id="218"/>
            </w:r>
            <w:r w:rsidRPr="00834BF0">
              <w:rPr>
                <w:rFonts w:cs="Times New Roman"/>
                <w:sz w:val="19"/>
                <w:szCs w:val="19"/>
              </w:rPr>
              <w:t xml:space="preserve"> It may also refer matters of concern to appropriate bodies (such as the Secretary, the Disability Service Commissioner, the NDIS Commission or the NDIA).</w:t>
            </w:r>
            <w:r w:rsidRPr="00834BF0">
              <w:rPr>
                <w:rFonts w:cs="Times New Roman"/>
                <w:sz w:val="19"/>
                <w:szCs w:val="19"/>
                <w:vertAlign w:val="superscript"/>
              </w:rPr>
              <w:footnoteReference w:id="219"/>
            </w:r>
          </w:p>
        </w:tc>
        <w:tc>
          <w:tcPr>
            <w:tcW w:w="0" w:type="auto"/>
          </w:tcPr>
          <w:p w14:paraId="66650EC6" w14:textId="77777777" w:rsidR="00030303" w:rsidRPr="00834BF0" w:rsidRDefault="00030303" w:rsidP="00030303">
            <w:pPr>
              <w:rPr>
                <w:rFonts w:cs="Times New Roman"/>
                <w:sz w:val="19"/>
                <w:szCs w:val="19"/>
              </w:rPr>
            </w:pPr>
            <w:r w:rsidRPr="00834BF0">
              <w:rPr>
                <w:rFonts w:cs="Times New Roman"/>
                <w:sz w:val="19"/>
                <w:szCs w:val="19"/>
              </w:rPr>
              <w:lastRenderedPageBreak/>
              <w:t xml:space="preserve">Western Australia does not have statutory community visitor schemes for disability services generally. However, it does have an advocacy scheme for mental health facilities, under the </w:t>
            </w:r>
            <w:r w:rsidRPr="00834BF0">
              <w:rPr>
                <w:rFonts w:cs="Times New Roman"/>
                <w:i/>
                <w:sz w:val="19"/>
                <w:szCs w:val="19"/>
              </w:rPr>
              <w:t>Mental Health Act 2014</w:t>
            </w:r>
            <w:r w:rsidRPr="00834BF0">
              <w:rPr>
                <w:rFonts w:cs="Times New Roman"/>
                <w:sz w:val="19"/>
                <w:szCs w:val="19"/>
              </w:rPr>
              <w:t xml:space="preserve"> (WA), which </w:t>
            </w:r>
            <w:r w:rsidRPr="00834BF0">
              <w:rPr>
                <w:rFonts w:cs="Times New Roman"/>
                <w:sz w:val="19"/>
                <w:szCs w:val="19"/>
              </w:rPr>
              <w:lastRenderedPageBreak/>
              <w:t>perform broadly similar functions to the schemes outlined for other jurisdictions.</w:t>
            </w:r>
            <w:r w:rsidRPr="00834BF0">
              <w:rPr>
                <w:rFonts w:ascii="Arial" w:hAnsi="Arial" w:cs="Arial"/>
                <w:sz w:val="19"/>
                <w:szCs w:val="19"/>
                <w:vertAlign w:val="superscript"/>
              </w:rPr>
              <w:footnoteReference w:id="220"/>
            </w:r>
            <w:r w:rsidRPr="00834BF0">
              <w:rPr>
                <w:rFonts w:cs="Times New Roman"/>
                <w:sz w:val="19"/>
                <w:szCs w:val="19"/>
              </w:rPr>
              <w:t xml:space="preserve"> </w:t>
            </w:r>
          </w:p>
        </w:tc>
      </w:tr>
    </w:tbl>
    <w:p w14:paraId="3F755ECB" w14:textId="77777777" w:rsidR="00030303" w:rsidRPr="00E849D9" w:rsidRDefault="00030303" w:rsidP="00030303">
      <w:pPr>
        <w:rPr>
          <w:rFonts w:cs="Times New Roman"/>
          <w:sz w:val="20"/>
          <w:szCs w:val="20"/>
        </w:rPr>
      </w:pPr>
    </w:p>
    <w:p w14:paraId="14C27434" w14:textId="77777777" w:rsidR="00030303" w:rsidRPr="000E6D92" w:rsidRDefault="00030303" w:rsidP="00030303">
      <w:pPr>
        <w:rPr>
          <w:b/>
        </w:rPr>
      </w:pPr>
    </w:p>
    <w:p w14:paraId="02F0BC4C" w14:textId="77777777" w:rsidR="00030303" w:rsidRDefault="00030303" w:rsidP="00030303"/>
    <w:p w14:paraId="0735B74E" w14:textId="77777777" w:rsidR="00030303" w:rsidRDefault="00030303"/>
    <w:sectPr w:rsidR="00030303" w:rsidSect="00030303">
      <w:footerReference w:type="default" r:id="rId20"/>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4F3430" w14:textId="77777777" w:rsidR="007679B9" w:rsidRDefault="007679B9" w:rsidP="00030303">
      <w:pPr>
        <w:spacing w:after="0" w:line="240" w:lineRule="auto"/>
      </w:pPr>
      <w:r>
        <w:separator/>
      </w:r>
    </w:p>
  </w:endnote>
  <w:endnote w:type="continuationSeparator" w:id="0">
    <w:p w14:paraId="4138CA13" w14:textId="77777777" w:rsidR="007679B9" w:rsidRDefault="007679B9" w:rsidP="00030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altName w:val="Leelawadee UI"/>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0607945"/>
      <w:docPartObj>
        <w:docPartGallery w:val="Page Numbers (Bottom of Page)"/>
        <w:docPartUnique/>
      </w:docPartObj>
    </w:sdtPr>
    <w:sdtEndPr>
      <w:rPr>
        <w:noProof/>
      </w:rPr>
    </w:sdtEndPr>
    <w:sdtContent>
      <w:p w14:paraId="25E4D28C" w14:textId="77777777" w:rsidR="00030303" w:rsidRDefault="0003030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66E1196" w14:textId="77777777" w:rsidR="00030303" w:rsidRDefault="000303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307939"/>
      <w:docPartObj>
        <w:docPartGallery w:val="Page Numbers (Bottom of Page)"/>
        <w:docPartUnique/>
      </w:docPartObj>
    </w:sdtPr>
    <w:sdtEndPr>
      <w:rPr>
        <w:noProof/>
      </w:rPr>
    </w:sdtEndPr>
    <w:sdtContent>
      <w:p w14:paraId="0114FBC0" w14:textId="77777777" w:rsidR="00030303" w:rsidRDefault="0003030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0AA65B" w14:textId="77777777" w:rsidR="00030303" w:rsidRDefault="00030303">
    <w:pPr>
      <w:pStyle w:val="Footer"/>
    </w:pPr>
  </w:p>
  <w:p w14:paraId="0B14D2F8" w14:textId="77777777" w:rsidR="00030303" w:rsidRDefault="000303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8B8DBD" w14:textId="77777777" w:rsidR="007679B9" w:rsidRDefault="007679B9" w:rsidP="00030303">
      <w:pPr>
        <w:spacing w:after="0" w:line="240" w:lineRule="auto"/>
      </w:pPr>
      <w:r>
        <w:separator/>
      </w:r>
    </w:p>
  </w:footnote>
  <w:footnote w:type="continuationSeparator" w:id="0">
    <w:p w14:paraId="4C0056F0" w14:textId="77777777" w:rsidR="007679B9" w:rsidRDefault="007679B9" w:rsidP="00030303">
      <w:pPr>
        <w:spacing w:after="0" w:line="240" w:lineRule="auto"/>
      </w:pPr>
      <w:r>
        <w:continuationSeparator/>
      </w:r>
    </w:p>
  </w:footnote>
  <w:footnote w:id="1">
    <w:p w14:paraId="2ACF73B1" w14:textId="77777777" w:rsidR="00030303" w:rsidRDefault="00030303" w:rsidP="00030303">
      <w:pPr>
        <w:pStyle w:val="FootnoteText"/>
      </w:pPr>
      <w:r>
        <w:rPr>
          <w:rStyle w:val="FootnoteReference"/>
        </w:rPr>
        <w:footnoteRef/>
      </w:r>
      <w:r>
        <w:t xml:space="preserve"> </w:t>
      </w:r>
      <w:r>
        <w:rPr>
          <w:sz w:val="18"/>
          <w:szCs w:val="18"/>
        </w:rPr>
        <w:t xml:space="preserve">See </w:t>
      </w:r>
      <w:proofErr w:type="spellStart"/>
      <w:r>
        <w:rPr>
          <w:i/>
          <w:iCs/>
          <w:sz w:val="18"/>
          <w:szCs w:val="18"/>
        </w:rPr>
        <w:t>Whitfeld</w:t>
      </w:r>
      <w:proofErr w:type="spellEnd"/>
      <w:r>
        <w:rPr>
          <w:i/>
          <w:iCs/>
          <w:sz w:val="18"/>
          <w:szCs w:val="18"/>
        </w:rPr>
        <w:t xml:space="preserve"> v De </w:t>
      </w:r>
      <w:proofErr w:type="spellStart"/>
      <w:r>
        <w:rPr>
          <w:i/>
          <w:iCs/>
          <w:sz w:val="18"/>
          <w:szCs w:val="18"/>
        </w:rPr>
        <w:t>Lauret</w:t>
      </w:r>
      <w:proofErr w:type="spellEnd"/>
      <w:r>
        <w:rPr>
          <w:i/>
          <w:iCs/>
          <w:sz w:val="18"/>
          <w:szCs w:val="18"/>
        </w:rPr>
        <w:t xml:space="preserve"> &amp; Co Ltd </w:t>
      </w:r>
      <w:r>
        <w:rPr>
          <w:sz w:val="18"/>
          <w:szCs w:val="18"/>
        </w:rPr>
        <w:t xml:space="preserve">(1920) 29 CLR 1 at 80. </w:t>
      </w:r>
      <w:r>
        <w:t xml:space="preserve"> </w:t>
      </w:r>
    </w:p>
  </w:footnote>
  <w:footnote w:id="2">
    <w:p w14:paraId="73961468" w14:textId="77777777" w:rsidR="00030303" w:rsidRDefault="00030303" w:rsidP="00030303">
      <w:pPr>
        <w:pStyle w:val="FootnoteText"/>
      </w:pPr>
      <w:r>
        <w:rPr>
          <w:rStyle w:val="FootnoteReference"/>
        </w:rPr>
        <w:footnoteRef/>
      </w:r>
      <w:r>
        <w:t xml:space="preserve"> </w:t>
      </w:r>
      <w:r>
        <w:rPr>
          <w:i/>
          <w:iCs/>
          <w:sz w:val="18"/>
          <w:szCs w:val="18"/>
        </w:rPr>
        <w:t xml:space="preserve">Robinson v Harman(1848) 1 Ex 850; at 855; 154 ER 363; at 365 per Parke B (approved </w:t>
      </w:r>
      <w:proofErr w:type="spellStart"/>
      <w:r>
        <w:rPr>
          <w:i/>
          <w:iCs/>
          <w:sz w:val="18"/>
          <w:szCs w:val="18"/>
        </w:rPr>
        <w:t>Koufos</w:t>
      </w:r>
      <w:proofErr w:type="spellEnd"/>
      <w:r>
        <w:rPr>
          <w:i/>
          <w:iCs/>
          <w:sz w:val="18"/>
          <w:szCs w:val="18"/>
        </w:rPr>
        <w:t xml:space="preserve"> v C </w:t>
      </w:r>
      <w:proofErr w:type="spellStart"/>
      <w:r>
        <w:rPr>
          <w:i/>
          <w:iCs/>
          <w:sz w:val="18"/>
          <w:szCs w:val="18"/>
        </w:rPr>
        <w:t>Czarnikow</w:t>
      </w:r>
      <w:proofErr w:type="spellEnd"/>
      <w:r>
        <w:rPr>
          <w:i/>
          <w:iCs/>
          <w:sz w:val="18"/>
          <w:szCs w:val="18"/>
        </w:rPr>
        <w:t xml:space="preserve"> Ltd[1969] 1 AC 350; at 414 per Lord Pearce, 420 per Lord Upjohn; adopted Wenham v Ella(1972) 127 CLR 454; at 460 per Barwick CJ, at 471 per Gibbs J; Commonwealth of Australia v Amann Aviation Pty Ltd(1991) 174 CLR 64; at 80 per Mason CJ and Dawson J, 98 per Brennan J, 117 per Deane J, 134 , 148 per Toohey J, 161 per McHugh J (dissenting judgment); 104 ALR 1 at 10-11, 22, 37, 50, 60–1, 70).</w:t>
      </w:r>
    </w:p>
  </w:footnote>
  <w:footnote w:id="3">
    <w:p w14:paraId="5F99C214" w14:textId="77777777" w:rsidR="00030303" w:rsidRDefault="00030303" w:rsidP="00030303">
      <w:pPr>
        <w:pStyle w:val="FootnoteText"/>
      </w:pPr>
      <w:r>
        <w:rPr>
          <w:rStyle w:val="FootnoteReference"/>
        </w:rPr>
        <w:footnoteRef/>
      </w:r>
      <w:r>
        <w:t xml:space="preserve"> For example, contracts for Specialist Disability Accommodation supports are covered by the Australian Consumer Law and </w:t>
      </w:r>
      <w:r>
        <w:rPr>
          <w:i/>
        </w:rPr>
        <w:t xml:space="preserve">National Disability Insurance Scheme Act 2013 </w:t>
      </w:r>
      <w:r>
        <w:t>(</w:t>
      </w:r>
      <w:proofErr w:type="spellStart"/>
      <w:r>
        <w:t>Cth</w:t>
      </w:r>
      <w:proofErr w:type="spellEnd"/>
      <w:r>
        <w:t>).</w:t>
      </w:r>
    </w:p>
  </w:footnote>
  <w:footnote w:id="4">
    <w:p w14:paraId="28B7737A" w14:textId="77777777" w:rsidR="00030303" w:rsidRDefault="00030303" w:rsidP="00030303">
      <w:pPr>
        <w:pStyle w:val="FootnoteText"/>
        <w:rPr>
          <w:b/>
        </w:rPr>
      </w:pPr>
      <w:r>
        <w:rPr>
          <w:rStyle w:val="FootnoteReference"/>
        </w:rPr>
        <w:footnoteRef/>
      </w:r>
      <w:r>
        <w:t xml:space="preserve"> For example, complaints about any issue connected with supports or services provided by an NDIS provider can be made to the NDIS Quality and Safeguards Commissioner under Part 3 of the </w:t>
      </w:r>
      <w:r>
        <w:rPr>
          <w:i/>
        </w:rPr>
        <w:t>National Disability Insurance Scheme (Complaints Management and Resolution) Rules 2018</w:t>
      </w:r>
      <w:r>
        <w:t xml:space="preserve"> (</w:t>
      </w:r>
      <w:proofErr w:type="spellStart"/>
      <w:r>
        <w:t>Cth</w:t>
      </w:r>
      <w:proofErr w:type="spellEnd"/>
      <w:r>
        <w:t>) and the Commissioner can require the NDIS provider to undertake remedial action in relation to the issue. See the discussion below on d</w:t>
      </w:r>
      <w:r w:rsidRPr="00740E93">
        <w:t>isability specific Commonwealth statutory / administrative remedies</w:t>
      </w:r>
      <w:r>
        <w:t>.</w:t>
      </w:r>
    </w:p>
  </w:footnote>
  <w:footnote w:id="5">
    <w:p w14:paraId="20D5CC9D" w14:textId="77777777" w:rsidR="00030303" w:rsidRDefault="00030303" w:rsidP="00030303">
      <w:pPr>
        <w:pStyle w:val="FootnoteText"/>
      </w:pPr>
      <w:r>
        <w:rPr>
          <w:rStyle w:val="FootnoteReference"/>
        </w:rPr>
        <w:footnoteRef/>
      </w:r>
      <w:r>
        <w:t xml:space="preserve"> See for example s 2, </w:t>
      </w:r>
      <w:r>
        <w:rPr>
          <w:i/>
        </w:rPr>
        <w:t>Royal Commission Act 1902</w:t>
      </w:r>
      <w:r>
        <w:t xml:space="preserve"> (</w:t>
      </w:r>
      <w:proofErr w:type="spellStart"/>
      <w:r>
        <w:t>Cth</w:t>
      </w:r>
      <w:proofErr w:type="spellEnd"/>
      <w:r>
        <w:t>).</w:t>
      </w:r>
    </w:p>
  </w:footnote>
  <w:footnote w:id="6">
    <w:p w14:paraId="45176CD7" w14:textId="77777777" w:rsidR="00030303" w:rsidRDefault="00030303" w:rsidP="00030303">
      <w:pPr>
        <w:pStyle w:val="FootnoteText"/>
      </w:pPr>
      <w:r>
        <w:rPr>
          <w:rStyle w:val="FootnoteReference"/>
        </w:rPr>
        <w:footnoteRef/>
      </w:r>
      <w:r>
        <w:t xml:space="preserve"> </w:t>
      </w:r>
      <w:r>
        <w:rPr>
          <w:i/>
        </w:rPr>
        <w:t>Re Smith Kline &amp; French Laboratories Ltd</w:t>
      </w:r>
      <w:r>
        <w:t xml:space="preserve"> [1990] 1 AC 64.</w:t>
      </w:r>
    </w:p>
  </w:footnote>
  <w:footnote w:id="7">
    <w:p w14:paraId="2EB74AB9" w14:textId="77777777" w:rsidR="00030303" w:rsidRDefault="00030303" w:rsidP="00030303">
      <w:pPr>
        <w:pStyle w:val="FootnoteText"/>
      </w:pPr>
      <w:r>
        <w:rPr>
          <w:rStyle w:val="FootnoteReference"/>
        </w:rPr>
        <w:footnoteRef/>
      </w:r>
      <w:r>
        <w:t xml:space="preserve"> </w:t>
      </w:r>
      <w:r>
        <w:rPr>
          <w:i/>
        </w:rPr>
        <w:t xml:space="preserve">Re Smith Kline &amp; French Laboratories Ltd </w:t>
      </w:r>
      <w:r>
        <w:t>[1990] 1 AC 64.</w:t>
      </w:r>
    </w:p>
  </w:footnote>
  <w:footnote w:id="8">
    <w:p w14:paraId="48BA7426" w14:textId="77777777" w:rsidR="00030303" w:rsidRDefault="00030303" w:rsidP="00030303">
      <w:pPr>
        <w:pStyle w:val="FootnoteText"/>
      </w:pPr>
      <w:r>
        <w:rPr>
          <w:rStyle w:val="FootnoteReference"/>
        </w:rPr>
        <w:footnoteRef/>
      </w:r>
      <w:r>
        <w:t xml:space="preserve"> </w:t>
      </w:r>
      <w:proofErr w:type="spellStart"/>
      <w:r>
        <w:rPr>
          <w:i/>
          <w:sz w:val="22"/>
          <w:szCs w:val="22"/>
        </w:rPr>
        <w:t>Giller</w:t>
      </w:r>
      <w:proofErr w:type="spellEnd"/>
      <w:r>
        <w:rPr>
          <w:i/>
          <w:sz w:val="22"/>
          <w:szCs w:val="22"/>
        </w:rPr>
        <w:t xml:space="preserve"> v </w:t>
      </w:r>
      <w:proofErr w:type="spellStart"/>
      <w:r>
        <w:rPr>
          <w:i/>
          <w:sz w:val="22"/>
          <w:szCs w:val="22"/>
        </w:rPr>
        <w:t>Procopets</w:t>
      </w:r>
      <w:proofErr w:type="spellEnd"/>
      <w:r>
        <w:rPr>
          <w:sz w:val="22"/>
          <w:szCs w:val="22"/>
        </w:rPr>
        <w:t xml:space="preserve"> (2008) 24 VR 1 at [149]-[153]; [424]</w:t>
      </w:r>
    </w:p>
  </w:footnote>
  <w:footnote w:id="9">
    <w:p w14:paraId="3406A096" w14:textId="77777777" w:rsidR="00030303" w:rsidRDefault="00030303" w:rsidP="00030303">
      <w:pPr>
        <w:pStyle w:val="FootnoteText"/>
      </w:pPr>
      <w:r>
        <w:rPr>
          <w:rStyle w:val="FootnoteReference"/>
        </w:rPr>
        <w:footnoteRef/>
      </w:r>
      <w:r>
        <w:t xml:space="preserve"> </w:t>
      </w:r>
      <w:r>
        <w:rPr>
          <w:i/>
          <w:sz w:val="22"/>
          <w:szCs w:val="22"/>
        </w:rPr>
        <w:t>Harris v Digital Pulse Pty Ltd</w:t>
      </w:r>
      <w:r>
        <w:rPr>
          <w:sz w:val="22"/>
          <w:szCs w:val="22"/>
        </w:rPr>
        <w:t xml:space="preserve"> (2003) 56 NSWLR 298.</w:t>
      </w:r>
    </w:p>
  </w:footnote>
  <w:footnote w:id="10">
    <w:p w14:paraId="7D4B589B" w14:textId="77777777" w:rsidR="00030303" w:rsidRDefault="00030303" w:rsidP="00030303">
      <w:pPr>
        <w:pStyle w:val="FootnoteText"/>
      </w:pPr>
      <w:r>
        <w:rPr>
          <w:rStyle w:val="FootnoteReference"/>
        </w:rPr>
        <w:footnoteRef/>
      </w:r>
      <w:r>
        <w:t xml:space="preserve"> </w:t>
      </w:r>
      <w:proofErr w:type="spellStart"/>
      <w:r>
        <w:rPr>
          <w:i/>
          <w:sz w:val="22"/>
          <w:szCs w:val="22"/>
        </w:rPr>
        <w:t>Giller</w:t>
      </w:r>
      <w:proofErr w:type="spellEnd"/>
      <w:r>
        <w:rPr>
          <w:i/>
          <w:sz w:val="22"/>
          <w:szCs w:val="22"/>
        </w:rPr>
        <w:t xml:space="preserve"> v </w:t>
      </w:r>
      <w:proofErr w:type="spellStart"/>
      <w:r>
        <w:rPr>
          <w:i/>
          <w:sz w:val="22"/>
          <w:szCs w:val="22"/>
        </w:rPr>
        <w:t>Procopets</w:t>
      </w:r>
      <w:proofErr w:type="spellEnd"/>
      <w:r>
        <w:rPr>
          <w:sz w:val="22"/>
          <w:szCs w:val="22"/>
        </w:rPr>
        <w:t xml:space="preserve"> (2008) 24 VR 1</w:t>
      </w:r>
    </w:p>
  </w:footnote>
  <w:footnote w:id="11">
    <w:p w14:paraId="4E932267" w14:textId="77777777" w:rsidR="00030303" w:rsidRDefault="00030303" w:rsidP="00030303">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w:t>
      </w:r>
      <w:r>
        <w:rPr>
          <w:rFonts w:asciiTheme="minorHAnsi" w:hAnsiTheme="minorHAnsi" w:cstheme="minorHAnsi"/>
          <w:i/>
        </w:rPr>
        <w:t xml:space="preserve">Livingstone v </w:t>
      </w:r>
      <w:proofErr w:type="spellStart"/>
      <w:r>
        <w:rPr>
          <w:rFonts w:asciiTheme="minorHAnsi" w:hAnsiTheme="minorHAnsi" w:cstheme="minorHAnsi"/>
          <w:i/>
        </w:rPr>
        <w:t>Rawyards</w:t>
      </w:r>
      <w:proofErr w:type="spellEnd"/>
      <w:r>
        <w:rPr>
          <w:rFonts w:asciiTheme="minorHAnsi" w:hAnsiTheme="minorHAnsi" w:cstheme="minorHAnsi"/>
          <w:i/>
        </w:rPr>
        <w:t xml:space="preserve"> Coal Co</w:t>
      </w:r>
      <w:r>
        <w:rPr>
          <w:rFonts w:asciiTheme="minorHAnsi" w:hAnsiTheme="minorHAnsi" w:cstheme="minorHAnsi"/>
        </w:rPr>
        <w:t> (1880) 5 App Cas 25, Lord Blackburn at 39</w:t>
      </w:r>
    </w:p>
  </w:footnote>
  <w:footnote w:id="12">
    <w:p w14:paraId="7D9B9910" w14:textId="77777777" w:rsidR="00030303" w:rsidRDefault="00030303" w:rsidP="00030303">
      <w:pPr>
        <w:pStyle w:val="FootnoteText"/>
      </w:pPr>
      <w:r>
        <w:rPr>
          <w:rStyle w:val="FootnoteReference"/>
        </w:rPr>
        <w:footnoteRef/>
      </w:r>
      <w:r>
        <w:t xml:space="preserve"> </w:t>
      </w:r>
      <w:r>
        <w:rPr>
          <w:i/>
        </w:rPr>
        <w:t>Robinson v Harman</w:t>
      </w:r>
      <w:r>
        <w:t> [1848] All ER Rep 383.</w:t>
      </w:r>
    </w:p>
  </w:footnote>
  <w:footnote w:id="13">
    <w:p w14:paraId="554BFE3C" w14:textId="77777777" w:rsidR="00030303" w:rsidRDefault="00030303" w:rsidP="00030303">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w:t>
      </w:r>
      <w:proofErr w:type="spellStart"/>
      <w:r>
        <w:rPr>
          <w:rFonts w:asciiTheme="minorHAnsi" w:hAnsiTheme="minorHAnsi" w:cstheme="minorHAnsi"/>
          <w:i/>
          <w:iCs/>
        </w:rPr>
        <w:t>Todorovic</w:t>
      </w:r>
      <w:proofErr w:type="spellEnd"/>
      <w:r>
        <w:rPr>
          <w:rFonts w:asciiTheme="minorHAnsi" w:hAnsiTheme="minorHAnsi" w:cstheme="minorHAnsi"/>
          <w:i/>
          <w:iCs/>
        </w:rPr>
        <w:t xml:space="preserve"> v Waller </w:t>
      </w:r>
      <w:r>
        <w:rPr>
          <w:rFonts w:asciiTheme="minorHAnsi" w:hAnsiTheme="minorHAnsi" w:cstheme="minorHAnsi"/>
        </w:rPr>
        <w:t>(1981) 150 CLR 402 at 412 per Gibbs CJ and Wilson J.</w:t>
      </w:r>
    </w:p>
  </w:footnote>
  <w:footnote w:id="14">
    <w:p w14:paraId="5F6534B6" w14:textId="77777777" w:rsidR="00030303" w:rsidRDefault="00030303" w:rsidP="00030303">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w:t>
      </w:r>
      <w:r>
        <w:rPr>
          <w:rFonts w:asciiTheme="minorHAnsi" w:hAnsiTheme="minorHAnsi" w:cstheme="minorHAnsi"/>
          <w:i/>
          <w:iCs/>
          <w:color w:val="202121"/>
        </w:rPr>
        <w:t xml:space="preserve">Lamb v </w:t>
      </w:r>
      <w:proofErr w:type="spellStart"/>
      <w:r>
        <w:rPr>
          <w:rFonts w:asciiTheme="minorHAnsi" w:hAnsiTheme="minorHAnsi" w:cstheme="minorHAnsi"/>
          <w:i/>
          <w:iCs/>
          <w:color w:val="202121"/>
        </w:rPr>
        <w:t>Cotogno</w:t>
      </w:r>
      <w:proofErr w:type="spellEnd"/>
      <w:r>
        <w:rPr>
          <w:rFonts w:asciiTheme="minorHAnsi" w:hAnsiTheme="minorHAnsi" w:cstheme="minorHAnsi"/>
          <w:color w:val="202121"/>
        </w:rPr>
        <w:t xml:space="preserve"> (1987) 164 CLR 1; </w:t>
      </w:r>
      <w:r>
        <w:rPr>
          <w:rFonts w:asciiTheme="minorHAnsi" w:hAnsiTheme="minorHAnsi" w:cstheme="minorHAnsi"/>
          <w:i/>
          <w:iCs/>
          <w:color w:val="202121"/>
        </w:rPr>
        <w:t>State of NSW v Ibbett </w:t>
      </w:r>
      <w:r>
        <w:rPr>
          <w:rFonts w:asciiTheme="minorHAnsi" w:hAnsiTheme="minorHAnsi" w:cstheme="minorHAnsi"/>
          <w:color w:val="202121"/>
        </w:rPr>
        <w:t xml:space="preserve">(2005) 65 NSWLR 168 per </w:t>
      </w:r>
      <w:proofErr w:type="spellStart"/>
      <w:r>
        <w:rPr>
          <w:rFonts w:asciiTheme="minorHAnsi" w:hAnsiTheme="minorHAnsi" w:cstheme="minorHAnsi"/>
          <w:color w:val="202121"/>
        </w:rPr>
        <w:t>Spigelman</w:t>
      </w:r>
      <w:proofErr w:type="spellEnd"/>
      <w:r>
        <w:rPr>
          <w:rFonts w:asciiTheme="minorHAnsi" w:hAnsiTheme="minorHAnsi" w:cstheme="minorHAnsi"/>
          <w:color w:val="202121"/>
        </w:rPr>
        <w:t xml:space="preserve"> CJ at [83].</w:t>
      </w:r>
    </w:p>
  </w:footnote>
  <w:footnote w:id="15">
    <w:p w14:paraId="48A4200E" w14:textId="77777777" w:rsidR="00030303" w:rsidRDefault="00030303" w:rsidP="00030303">
      <w:pPr>
        <w:pStyle w:val="FootnoteText"/>
      </w:pPr>
      <w:r>
        <w:rPr>
          <w:rStyle w:val="FootnoteReference"/>
          <w:rFonts w:asciiTheme="minorHAnsi" w:hAnsiTheme="minorHAnsi" w:cstheme="minorHAnsi"/>
        </w:rPr>
        <w:footnoteRef/>
      </w:r>
      <w:r>
        <w:rPr>
          <w:rFonts w:asciiTheme="minorHAnsi" w:hAnsiTheme="minorHAnsi" w:cstheme="minorHAnsi"/>
        </w:rPr>
        <w:t xml:space="preserve"> </w:t>
      </w:r>
      <w:r>
        <w:rPr>
          <w:rFonts w:asciiTheme="minorHAnsi" w:hAnsiTheme="minorHAnsi" w:cstheme="minorHAnsi"/>
          <w:i/>
          <w:iCs/>
          <w:color w:val="202121"/>
        </w:rPr>
        <w:t>Day v The Ocean Beach Hotel Shellharbour Pty Ltd</w:t>
      </w:r>
      <w:r>
        <w:rPr>
          <w:rFonts w:asciiTheme="minorHAnsi" w:hAnsiTheme="minorHAnsi" w:cstheme="minorHAnsi"/>
          <w:color w:val="202121"/>
        </w:rPr>
        <w:t> (2013) 85 NSWLR 335, per Leeming JA.</w:t>
      </w:r>
    </w:p>
  </w:footnote>
  <w:footnote w:id="16">
    <w:p w14:paraId="5B6E8F2D" w14:textId="77777777" w:rsidR="00030303" w:rsidRDefault="00030303" w:rsidP="00030303">
      <w:pPr>
        <w:pStyle w:val="FootnoteText"/>
      </w:pPr>
      <w:r>
        <w:rPr>
          <w:rStyle w:val="FootnoteReference"/>
        </w:rPr>
        <w:footnoteRef/>
      </w:r>
      <w:r>
        <w:t xml:space="preserve"> </w:t>
      </w:r>
      <w:r>
        <w:rPr>
          <w:rFonts w:asciiTheme="minorHAnsi" w:hAnsiTheme="minorHAnsi" w:cstheme="minorHAnsi"/>
          <w:i/>
          <w:iCs/>
          <w:color w:val="202121"/>
        </w:rPr>
        <w:t>Uren v John Fairfax &amp; Sons Pty Ltd </w:t>
      </w:r>
      <w:r>
        <w:rPr>
          <w:rFonts w:asciiTheme="minorHAnsi" w:hAnsiTheme="minorHAnsi" w:cstheme="minorHAnsi"/>
          <w:iCs/>
          <w:color w:val="202121"/>
        </w:rPr>
        <w:t>(1966) 117 CLR 118 per Windeyer J at 152.</w:t>
      </w:r>
    </w:p>
  </w:footnote>
  <w:footnote w:id="17">
    <w:p w14:paraId="3B77A63D" w14:textId="77777777" w:rsidR="00030303" w:rsidRPr="009778A2" w:rsidRDefault="00030303" w:rsidP="00030303">
      <w:pPr>
        <w:pStyle w:val="FootnoteText"/>
        <w:rPr>
          <w:rFonts w:asciiTheme="minorHAnsi" w:hAnsiTheme="minorHAnsi" w:cstheme="minorHAnsi"/>
        </w:rPr>
      </w:pPr>
      <w:r>
        <w:rPr>
          <w:rStyle w:val="FootnoteReference"/>
        </w:rPr>
        <w:footnoteRef/>
      </w:r>
      <w:r>
        <w:t xml:space="preserve"> </w:t>
      </w:r>
      <w:proofErr w:type="spellStart"/>
      <w:r w:rsidRPr="009778A2">
        <w:rPr>
          <w:rFonts w:asciiTheme="minorHAnsi" w:hAnsiTheme="minorHAnsi" w:cstheme="minorHAnsi"/>
          <w:i/>
          <w:iCs/>
          <w:color w:val="202121"/>
        </w:rPr>
        <w:t>Whitford</w:t>
      </w:r>
      <w:proofErr w:type="spellEnd"/>
      <w:r w:rsidRPr="009778A2">
        <w:rPr>
          <w:rFonts w:asciiTheme="minorHAnsi" w:hAnsiTheme="minorHAnsi" w:cstheme="minorHAnsi"/>
          <w:i/>
          <w:iCs/>
          <w:color w:val="202121"/>
        </w:rPr>
        <w:t xml:space="preserve"> v De </w:t>
      </w:r>
      <w:proofErr w:type="spellStart"/>
      <w:r w:rsidRPr="009778A2">
        <w:rPr>
          <w:rFonts w:asciiTheme="minorHAnsi" w:hAnsiTheme="minorHAnsi" w:cstheme="minorHAnsi"/>
          <w:i/>
          <w:iCs/>
          <w:color w:val="202121"/>
        </w:rPr>
        <w:t>Lauret</w:t>
      </w:r>
      <w:proofErr w:type="spellEnd"/>
      <w:r w:rsidRPr="009778A2">
        <w:rPr>
          <w:rFonts w:asciiTheme="minorHAnsi" w:hAnsiTheme="minorHAnsi" w:cstheme="minorHAnsi"/>
          <w:i/>
          <w:iCs/>
          <w:color w:val="202121"/>
        </w:rPr>
        <w:t xml:space="preserve"> &amp; Co Ltd</w:t>
      </w:r>
      <w:r w:rsidRPr="009778A2">
        <w:rPr>
          <w:rFonts w:asciiTheme="minorHAnsi" w:hAnsiTheme="minorHAnsi" w:cstheme="minorHAnsi"/>
          <w:color w:val="202121"/>
        </w:rPr>
        <w:t> (1920) 29 CLR 71 at 77 per Knox CJ.</w:t>
      </w:r>
    </w:p>
  </w:footnote>
  <w:footnote w:id="18">
    <w:p w14:paraId="7831336B" w14:textId="77777777" w:rsidR="00030303" w:rsidRPr="009778A2" w:rsidRDefault="00030303" w:rsidP="00030303">
      <w:pPr>
        <w:pStyle w:val="FootnoteText"/>
        <w:rPr>
          <w:rFonts w:asciiTheme="minorHAnsi" w:hAnsiTheme="minorHAnsi" w:cstheme="minorHAnsi"/>
        </w:rPr>
      </w:pPr>
      <w:r w:rsidRPr="009778A2">
        <w:rPr>
          <w:rStyle w:val="FootnoteReference"/>
          <w:rFonts w:asciiTheme="minorHAnsi" w:hAnsiTheme="minorHAnsi" w:cstheme="minorHAnsi"/>
        </w:rPr>
        <w:footnoteRef/>
      </w:r>
      <w:r w:rsidRPr="009778A2">
        <w:rPr>
          <w:rFonts w:asciiTheme="minorHAnsi" w:hAnsiTheme="minorHAnsi" w:cstheme="minorHAnsi"/>
        </w:rPr>
        <w:t xml:space="preserve"> </w:t>
      </w:r>
      <w:proofErr w:type="spellStart"/>
      <w:r w:rsidRPr="009778A2">
        <w:rPr>
          <w:rFonts w:asciiTheme="minorHAnsi" w:hAnsiTheme="minorHAnsi" w:cstheme="minorHAnsi"/>
          <w:i/>
          <w:iCs/>
          <w:color w:val="202121"/>
        </w:rPr>
        <w:t>Gray</w:t>
      </w:r>
      <w:proofErr w:type="spellEnd"/>
      <w:r w:rsidRPr="009778A2">
        <w:rPr>
          <w:rFonts w:asciiTheme="minorHAnsi" w:hAnsiTheme="minorHAnsi" w:cstheme="minorHAnsi"/>
          <w:i/>
          <w:iCs/>
          <w:color w:val="202121"/>
        </w:rPr>
        <w:t xml:space="preserve"> v Motor Accidents Commission</w:t>
      </w:r>
      <w:r w:rsidRPr="009778A2">
        <w:rPr>
          <w:rFonts w:asciiTheme="minorHAnsi" w:hAnsiTheme="minorHAnsi" w:cstheme="minorHAnsi"/>
          <w:color w:val="202121"/>
        </w:rPr>
        <w:t> (1998) 196 CLR 1.</w:t>
      </w:r>
    </w:p>
  </w:footnote>
  <w:footnote w:id="19">
    <w:p w14:paraId="128E9818" w14:textId="77777777" w:rsidR="00030303" w:rsidRPr="009778A2" w:rsidRDefault="00030303" w:rsidP="00030303">
      <w:pPr>
        <w:pStyle w:val="FootnoteText"/>
        <w:rPr>
          <w:rFonts w:asciiTheme="minorHAnsi" w:hAnsiTheme="minorHAnsi" w:cstheme="minorHAnsi"/>
        </w:rPr>
      </w:pPr>
      <w:r w:rsidRPr="009778A2">
        <w:rPr>
          <w:rStyle w:val="FootnoteReference"/>
          <w:rFonts w:asciiTheme="minorHAnsi" w:hAnsiTheme="minorHAnsi" w:cstheme="minorHAnsi"/>
        </w:rPr>
        <w:footnoteRef/>
      </w:r>
      <w:r w:rsidRPr="009778A2">
        <w:rPr>
          <w:rFonts w:asciiTheme="minorHAnsi" w:hAnsiTheme="minorHAnsi" w:cstheme="minorHAnsi"/>
        </w:rPr>
        <w:t xml:space="preserve"> </w:t>
      </w:r>
      <w:r w:rsidRPr="009778A2">
        <w:rPr>
          <w:rFonts w:asciiTheme="minorHAnsi" w:hAnsiTheme="minorHAnsi" w:cstheme="minorHAnsi"/>
          <w:i/>
          <w:iCs/>
          <w:color w:val="202121"/>
        </w:rPr>
        <w:t>Uren v John Fairfax &amp; Sons Pty Ltd</w:t>
      </w:r>
      <w:r w:rsidRPr="009778A2">
        <w:rPr>
          <w:rFonts w:asciiTheme="minorHAnsi" w:hAnsiTheme="minorHAnsi" w:cstheme="minorHAnsi"/>
          <w:color w:val="202121"/>
        </w:rPr>
        <w:t> (1966) 117 CLR 118 per Windeyer J at [11].</w:t>
      </w:r>
    </w:p>
  </w:footnote>
  <w:footnote w:id="20">
    <w:p w14:paraId="036D8CE4" w14:textId="77777777" w:rsidR="00030303" w:rsidRPr="009778A2" w:rsidRDefault="00030303" w:rsidP="00030303">
      <w:pPr>
        <w:pStyle w:val="FootnoteText"/>
        <w:rPr>
          <w:rFonts w:asciiTheme="minorHAnsi" w:hAnsiTheme="minorHAnsi" w:cstheme="minorHAnsi"/>
        </w:rPr>
      </w:pPr>
      <w:r w:rsidRPr="009778A2">
        <w:rPr>
          <w:rStyle w:val="FootnoteReference"/>
          <w:rFonts w:asciiTheme="minorHAnsi" w:hAnsiTheme="minorHAnsi" w:cstheme="minorHAnsi"/>
        </w:rPr>
        <w:footnoteRef/>
      </w:r>
      <w:r w:rsidRPr="009778A2">
        <w:rPr>
          <w:rFonts w:asciiTheme="minorHAnsi" w:hAnsiTheme="minorHAnsi" w:cstheme="minorHAnsi"/>
        </w:rPr>
        <w:t xml:space="preserve"> </w:t>
      </w:r>
      <w:proofErr w:type="spellStart"/>
      <w:r w:rsidRPr="009778A2">
        <w:rPr>
          <w:rFonts w:asciiTheme="minorHAnsi" w:hAnsiTheme="minorHAnsi" w:cstheme="minorHAnsi"/>
          <w:i/>
          <w:iCs/>
          <w:color w:val="202121"/>
        </w:rPr>
        <w:t>Rookes</w:t>
      </w:r>
      <w:proofErr w:type="spellEnd"/>
      <w:r w:rsidRPr="009778A2">
        <w:rPr>
          <w:rFonts w:asciiTheme="minorHAnsi" w:hAnsiTheme="minorHAnsi" w:cstheme="minorHAnsi"/>
          <w:i/>
          <w:iCs/>
          <w:color w:val="202121"/>
        </w:rPr>
        <w:t xml:space="preserve"> v Barnard</w:t>
      </w:r>
      <w:r w:rsidRPr="009778A2">
        <w:rPr>
          <w:rFonts w:asciiTheme="minorHAnsi" w:hAnsiTheme="minorHAnsi" w:cstheme="minorHAnsi"/>
          <w:color w:val="202121"/>
        </w:rPr>
        <w:t xml:space="preserve"> [1964] AC 1129, Lord Devlin at 1226; </w:t>
      </w:r>
      <w:r w:rsidRPr="009778A2">
        <w:rPr>
          <w:rFonts w:asciiTheme="minorHAnsi" w:hAnsiTheme="minorHAnsi" w:cstheme="minorHAnsi"/>
          <w:i/>
          <w:iCs/>
          <w:color w:val="202121"/>
        </w:rPr>
        <w:t>State of NSW v Ibbett</w:t>
      </w:r>
      <w:r w:rsidRPr="009778A2">
        <w:rPr>
          <w:rFonts w:asciiTheme="minorHAnsi" w:hAnsiTheme="minorHAnsi" w:cstheme="minorHAnsi"/>
          <w:color w:val="202121"/>
        </w:rPr>
        <w:t> (2006) 229 CLR 638 at [</w:t>
      </w:r>
      <w:proofErr w:type="gramStart"/>
      <w:r w:rsidRPr="009778A2">
        <w:rPr>
          <w:rFonts w:asciiTheme="minorHAnsi" w:hAnsiTheme="minorHAnsi" w:cstheme="minorHAnsi"/>
          <w:color w:val="202121"/>
        </w:rPr>
        <w:t>38]</w:t>
      </w:r>
      <w:r>
        <w:rPr>
          <w:rFonts w:asciiTheme="minorHAnsi" w:hAnsiTheme="minorHAnsi" w:cstheme="minorHAnsi"/>
          <w:color w:val="202121"/>
        </w:rPr>
        <w:noBreakHyphen/>
      </w:r>
      <w:proofErr w:type="gramEnd"/>
      <w:r w:rsidRPr="009778A2">
        <w:rPr>
          <w:rFonts w:asciiTheme="minorHAnsi" w:hAnsiTheme="minorHAnsi" w:cstheme="minorHAnsi"/>
          <w:color w:val="202121"/>
        </w:rPr>
        <w:t>[40].</w:t>
      </w:r>
    </w:p>
  </w:footnote>
  <w:footnote w:id="21">
    <w:p w14:paraId="694508CA" w14:textId="77777777" w:rsidR="00030303" w:rsidRDefault="00030303" w:rsidP="00030303">
      <w:pPr>
        <w:pStyle w:val="FootnoteText"/>
      </w:pPr>
      <w:r>
        <w:rPr>
          <w:rStyle w:val="FootnoteReference"/>
        </w:rPr>
        <w:footnoteRef/>
      </w:r>
      <w:r>
        <w:t xml:space="preserve"> For completeness, s 9(2) of the Act allows for regulations to be made providing for the custody of Royal Commission records, and disclosure of/access to those records while in the possession of the nominated custodian. This may affect the protection of evidence after the conclusion of the Commission.</w:t>
      </w:r>
    </w:p>
  </w:footnote>
  <w:footnote w:id="22">
    <w:p w14:paraId="186F1C21" w14:textId="77777777" w:rsidR="00030303" w:rsidRDefault="00030303" w:rsidP="00030303">
      <w:pPr>
        <w:pStyle w:val="FootnoteText"/>
      </w:pPr>
      <w:r>
        <w:rPr>
          <w:rStyle w:val="FootnoteReference"/>
        </w:rPr>
        <w:footnoteRef/>
      </w:r>
      <w:r>
        <w:t xml:space="preserve"> The</w:t>
      </w:r>
      <w:r>
        <w:rPr>
          <w:i/>
        </w:rPr>
        <w:t xml:space="preserve"> Inquiries Act 1945 </w:t>
      </w:r>
      <w:r>
        <w:t>(NT) includes no general power to prevent publication. Information about hearings (other than those heard in private) may be published: s 17.</w:t>
      </w:r>
    </w:p>
  </w:footnote>
  <w:footnote w:id="23">
    <w:p w14:paraId="7996E34B" w14:textId="77777777" w:rsidR="00030303" w:rsidRDefault="00030303" w:rsidP="00030303">
      <w:pPr>
        <w:pStyle w:val="FootnoteText"/>
      </w:pPr>
      <w:r>
        <w:rPr>
          <w:rStyle w:val="FootnoteReference"/>
        </w:rPr>
        <w:footnoteRef/>
      </w:r>
      <w:r>
        <w:t xml:space="preserve"> The </w:t>
      </w:r>
      <w:r>
        <w:rPr>
          <w:i/>
        </w:rPr>
        <w:t xml:space="preserve">Royal Commissions Act 1968 </w:t>
      </w:r>
      <w:r>
        <w:t>(WA) does not contain any specific power to prevent publication, but s 19B(3) makes clear that a Commission has power to direct that a sound recording of proceedings is not made, and s 19B(5) makes clear that a Commission has power to direct that a written record or transcript of proceedings, or evidence given before the Commission, or any documents etc produced to or obtained by the Commission, not be published. Publication in these circumstances constitutes contempt. A person will also be in contempt if they make a sound recording other than for the purpose of a fair report of the proceedings or with leave (s 19</w:t>
      </w:r>
      <w:proofErr w:type="gramStart"/>
      <w:r>
        <w:t>B(</w:t>
      </w:r>
      <w:proofErr w:type="gramEnd"/>
      <w:r>
        <w:t>2)), or if they photograph or make a visual recording of proceedings without leave (s 19B(4)).</w:t>
      </w:r>
    </w:p>
  </w:footnote>
  <w:footnote w:id="24">
    <w:p w14:paraId="2C9AB520" w14:textId="77777777" w:rsidR="00030303" w:rsidRDefault="00030303" w:rsidP="00030303">
      <w:pPr>
        <w:pStyle w:val="FootnoteText"/>
      </w:pPr>
      <w:r>
        <w:rPr>
          <w:rStyle w:val="FootnoteReference"/>
        </w:rPr>
        <w:footnoteRef/>
      </w:r>
      <w:r>
        <w:t xml:space="preserve"> Although not all jurisdictions confer such specific powers on Commissions or equivalent bodies, it seems likely that the more general powers to prohibit publication etc of evidence/information will include the power to prevent publication of certain aspects of that evidence/information from being published </w:t>
      </w:r>
      <w:proofErr w:type="spellStart"/>
      <w:r>
        <w:t>eg</w:t>
      </w:r>
      <w:proofErr w:type="spellEnd"/>
      <w:r>
        <w:t xml:space="preserve"> a name or identifying information.</w:t>
      </w:r>
    </w:p>
  </w:footnote>
  <w:footnote w:id="25">
    <w:p w14:paraId="46235049" w14:textId="77777777" w:rsidR="00030303" w:rsidRDefault="00030303" w:rsidP="00030303">
      <w:pPr>
        <w:pStyle w:val="FootnoteText"/>
      </w:pPr>
      <w:r>
        <w:rPr>
          <w:rStyle w:val="FootnoteReference"/>
        </w:rPr>
        <w:footnoteRef/>
      </w:r>
      <w:r>
        <w:t xml:space="preserve"> It is an offence for a person to publish information that identifies someone else as a person who is or was a child or young person the subject of a ‘</w:t>
      </w:r>
      <w:proofErr w:type="spellStart"/>
      <w:r>
        <w:t>childrens</w:t>
      </w:r>
      <w:proofErr w:type="spellEnd"/>
      <w:r>
        <w:t xml:space="preserve"> proceeding’ (</w:t>
      </w:r>
      <w:r>
        <w:rPr>
          <w:i/>
        </w:rPr>
        <w:t xml:space="preserve">Criminal Code 2002 </w:t>
      </w:r>
      <w:r>
        <w:t>(ACT), s 712</w:t>
      </w:r>
      <w:proofErr w:type="gramStart"/>
      <w:r>
        <w:t>A(</w:t>
      </w:r>
      <w:proofErr w:type="gramEnd"/>
      <w:r>
        <w:t>1)). A child or young person is or was the subject of a ‘</w:t>
      </w:r>
      <w:proofErr w:type="spellStart"/>
      <w:r>
        <w:t>childrens</w:t>
      </w:r>
      <w:proofErr w:type="spellEnd"/>
      <w:r>
        <w:t xml:space="preserve"> proceeding’ in a range of circumstances, including if one of a list of orders is or was in force under the </w:t>
      </w:r>
      <w:r>
        <w:rPr>
          <w:i/>
        </w:rPr>
        <w:t xml:space="preserve">Children and Young People Act 2008 </w:t>
      </w:r>
      <w:r>
        <w:t>(s 712</w:t>
      </w:r>
      <w:proofErr w:type="gramStart"/>
      <w:r>
        <w:t>A(</w:t>
      </w:r>
      <w:proofErr w:type="gramEnd"/>
      <w:r>
        <w:t xml:space="preserve">5)). Such a person might have some involvement with a Commission such that this provision would be relevant (s 45 of the </w:t>
      </w:r>
      <w:r>
        <w:rPr>
          <w:i/>
        </w:rPr>
        <w:t xml:space="preserve">Royal Commissions Act 1991 </w:t>
      </w:r>
      <w:r>
        <w:t xml:space="preserve">(ACT) provides that a proceeding of a commission is a legal proceeding for the </w:t>
      </w:r>
      <w:r>
        <w:rPr>
          <w:i/>
        </w:rPr>
        <w:t xml:space="preserve">Criminal Code 2002 </w:t>
      </w:r>
      <w:r>
        <w:t xml:space="preserve">(ACT), Ch 7; see also </w:t>
      </w:r>
      <w:r>
        <w:rPr>
          <w:i/>
        </w:rPr>
        <w:t xml:space="preserve">Criminal Code 2002 </w:t>
      </w:r>
      <w:r>
        <w:t>(ACT), s 701(1)(c)).</w:t>
      </w:r>
    </w:p>
  </w:footnote>
  <w:footnote w:id="26">
    <w:p w14:paraId="53CBDB2F" w14:textId="77777777" w:rsidR="00030303" w:rsidRDefault="00030303" w:rsidP="00030303">
      <w:pPr>
        <w:pStyle w:val="FootnoteText"/>
        <w:rPr>
          <w:rFonts w:ascii="Arial" w:hAnsi="Arial" w:cs="Arial"/>
          <w:sz w:val="18"/>
        </w:rPr>
      </w:pPr>
      <w:r>
        <w:rPr>
          <w:rStyle w:val="FootnoteReference"/>
        </w:rPr>
        <w:footnoteRef/>
      </w:r>
      <w:r>
        <w:t xml:space="preserve"> Although the Commonwealth Act does not contain express provisions to this effect, provisions of other Commonwealth legislation might apply indirectly to provide some protection in limited circumstances: see </w:t>
      </w:r>
      <w:proofErr w:type="spellStart"/>
      <w:r>
        <w:t>eg</w:t>
      </w:r>
      <w:proofErr w:type="spellEnd"/>
      <w:r>
        <w:t xml:space="preserve"> the requirements imposed on Commonwealth public servants by s 13 of the </w:t>
      </w:r>
      <w:r>
        <w:rPr>
          <w:i/>
        </w:rPr>
        <w:t xml:space="preserve">Public Service Act 1999 </w:t>
      </w:r>
      <w:r>
        <w:t xml:space="preserve">(the PS Act), read with reg 2.1 of the </w:t>
      </w:r>
      <w:r>
        <w:rPr>
          <w:i/>
        </w:rPr>
        <w:t>Public Service Regulations 1999</w:t>
      </w:r>
      <w:r>
        <w:t xml:space="preserve">. It is conceivable that the secrecy offences in </w:t>
      </w:r>
      <w:proofErr w:type="spellStart"/>
      <w:r>
        <w:t>Div</w:t>
      </w:r>
      <w:proofErr w:type="spellEnd"/>
      <w:r>
        <w:t xml:space="preserve"> 122 of the </w:t>
      </w:r>
      <w:r>
        <w:rPr>
          <w:i/>
        </w:rPr>
        <w:t>Criminal Code</w:t>
      </w:r>
      <w:r>
        <w:t xml:space="preserve"> may be engaged in particular circumstances, although this will depend heavily on factors such as whether the disclosure is made by a person falling under the jurisdiction of the PS Act, or whether the nature of the information is such that it is ‘inherently harmful’ or is likely to cause harm to Australia’s interests. Section 6OH of the Commonwealth Act also provides specific protections relevant to private sessions; see further below.</w:t>
      </w:r>
    </w:p>
  </w:footnote>
  <w:footnote w:id="27">
    <w:p w14:paraId="4EA46BAC" w14:textId="77777777" w:rsidR="00030303" w:rsidRDefault="00030303" w:rsidP="00030303">
      <w:pPr>
        <w:pStyle w:val="FootnoteText"/>
      </w:pPr>
      <w:r>
        <w:rPr>
          <w:rStyle w:val="FootnoteReference"/>
        </w:rPr>
        <w:footnoteRef/>
      </w:r>
      <w:r>
        <w:t xml:space="preserve"> Further protections apply in respect of ‘protected information’ (</w:t>
      </w:r>
      <w:proofErr w:type="spellStart"/>
      <w:r>
        <w:t>ie</w:t>
      </w:r>
      <w:proofErr w:type="spellEnd"/>
      <w:r>
        <w:t xml:space="preserve"> information obtained only by reason of a Commission’s coercive powers, despite a separate obligation not to disclose), which must not be disclosed for a purpose under the Act unless the chairperson considers it reasonable in the circumstances (s 32A).</w:t>
      </w:r>
    </w:p>
  </w:footnote>
  <w:footnote w:id="28">
    <w:p w14:paraId="14C377E9" w14:textId="77777777" w:rsidR="00030303" w:rsidRDefault="00030303" w:rsidP="00030303">
      <w:pPr>
        <w:pStyle w:val="FootnoteText"/>
      </w:pPr>
      <w:r>
        <w:rPr>
          <w:rStyle w:val="FootnoteReference"/>
        </w:rPr>
        <w:footnoteRef/>
      </w:r>
      <w:r>
        <w:t xml:space="preserve"> It is also an offence for a person to whom information is given by a Royal Commission officer during the course of the inquiry to take advantage of the information to benefit the person or any other person (s 45).</w:t>
      </w:r>
    </w:p>
  </w:footnote>
  <w:footnote w:id="29">
    <w:p w14:paraId="29DBD1A1" w14:textId="77777777" w:rsidR="00030303" w:rsidRDefault="00030303" w:rsidP="00030303">
      <w:pPr>
        <w:pStyle w:val="FootnoteText"/>
      </w:pPr>
      <w:r>
        <w:rPr>
          <w:rStyle w:val="FootnoteReference"/>
        </w:rPr>
        <w:footnoteRef/>
      </w:r>
      <w:r>
        <w:t xml:space="preserve"> No express power is conferred to provide private hearings (although a Commission is empowered to ‘do all such things as are necessary or incidental to the exercise of its function … and to its terms of appointment’ (s 7(1)), but the Act refers to ‘the Commission’s general powers to order that any evidence may be taken in private’ (s 19(5)) and provides for the Commission to expressly authorise people to be present ‘[</w:t>
      </w:r>
      <w:proofErr w:type="spellStart"/>
      <w:r>
        <w:t>i</w:t>
      </w:r>
      <w:proofErr w:type="spellEnd"/>
      <w:r>
        <w:t>]f a Commission is taking evidence in private, or conducting the inquiry in private’ (s 19A(a)). The Commission is also not required to make known to any person the content or nature of any evidence taken in private (s 19A(b)).</w:t>
      </w:r>
    </w:p>
  </w:footnote>
  <w:footnote w:id="30">
    <w:p w14:paraId="7105D8DD" w14:textId="77777777" w:rsidR="00030303" w:rsidRDefault="00030303" w:rsidP="00030303">
      <w:pPr>
        <w:pStyle w:val="FootnoteText"/>
      </w:pPr>
      <w:r>
        <w:rPr>
          <w:rStyle w:val="FootnoteReference"/>
        </w:rPr>
        <w:footnoteRef/>
      </w:r>
      <w:r>
        <w:t xml:space="preserve"> A private session is not a hearing. A person appearing is not a witness, and does not give evidence. See </w:t>
      </w:r>
      <w:r>
        <w:rPr>
          <w:i/>
        </w:rPr>
        <w:t xml:space="preserve">Royal Commissions Act 1902 </w:t>
      </w:r>
      <w:r>
        <w:t>(</w:t>
      </w:r>
      <w:proofErr w:type="spellStart"/>
      <w:r>
        <w:t>Cth</w:t>
      </w:r>
      <w:proofErr w:type="spellEnd"/>
      <w:r>
        <w:t>) s 6</w:t>
      </w:r>
      <w:proofErr w:type="gramStart"/>
      <w:r>
        <w:t>OC(</w:t>
      </w:r>
      <w:proofErr w:type="gramEnd"/>
      <w:r>
        <w:t xml:space="preserve">1)-(2); </w:t>
      </w:r>
      <w:r>
        <w:rPr>
          <w:i/>
        </w:rPr>
        <w:t xml:space="preserve">Commissions of Inquiry Act 1995 </w:t>
      </w:r>
      <w:r>
        <w:t>(Tas) s 19A(2)-(3).</w:t>
      </w:r>
    </w:p>
  </w:footnote>
  <w:footnote w:id="31">
    <w:p w14:paraId="085D8C27" w14:textId="77777777" w:rsidR="00030303" w:rsidRDefault="00030303" w:rsidP="00030303">
      <w:pPr>
        <w:pStyle w:val="FootnoteText"/>
      </w:pPr>
      <w:r>
        <w:rPr>
          <w:rStyle w:val="FootnoteReference"/>
        </w:rPr>
        <w:footnoteRef/>
      </w:r>
      <w:r>
        <w:t xml:space="preserve"> Sections 6ON and 6OP have the effect that certain information provided to specific Royal Commissions, other than for the purposes of a private session but on the basis that it would be kept confidential, will be within the scope of this offence provision.</w:t>
      </w:r>
    </w:p>
  </w:footnote>
  <w:footnote w:id="32">
    <w:p w14:paraId="07D65D02" w14:textId="77777777" w:rsidR="00030303" w:rsidRDefault="00030303" w:rsidP="00030303">
      <w:pPr>
        <w:pStyle w:val="FootnoteText"/>
      </w:pPr>
      <w:r>
        <w:rPr>
          <w:rStyle w:val="FootnoteReference"/>
        </w:rPr>
        <w:footnoteRef/>
      </w:r>
      <w:r>
        <w:t xml:space="preserve"> For completeness, and as mentioned previously, there are commonly exceptions to protection of information for a Commission to provide information or evidence to a law enforcement agency (where the information may relate to a breach of a law): see </w:t>
      </w:r>
      <w:proofErr w:type="spellStart"/>
      <w:r>
        <w:t>eg</w:t>
      </w:r>
      <w:proofErr w:type="spellEnd"/>
      <w:r>
        <w:t xml:space="preserve"> </w:t>
      </w:r>
      <w:r>
        <w:rPr>
          <w:i/>
        </w:rPr>
        <w:t xml:space="preserve">Royal Commissions Act 1923 </w:t>
      </w:r>
      <w:r>
        <w:t>(NSW), s 12A.</w:t>
      </w:r>
    </w:p>
  </w:footnote>
  <w:footnote w:id="33">
    <w:p w14:paraId="45BAC8FA" w14:textId="77777777" w:rsidR="00030303" w:rsidRDefault="00030303" w:rsidP="00030303">
      <w:pPr>
        <w:pStyle w:val="FootnoteText"/>
      </w:pPr>
      <w:r>
        <w:rPr>
          <w:rStyle w:val="FootnoteReference"/>
        </w:rPr>
        <w:footnoteRef/>
      </w:r>
      <w:r>
        <w:t xml:space="preserve"> Section 45 of the </w:t>
      </w:r>
      <w:r>
        <w:rPr>
          <w:i/>
        </w:rPr>
        <w:t xml:space="preserve">Royal Commissions Act 1991 </w:t>
      </w:r>
      <w:r>
        <w:t xml:space="preserve">(ACT) provides that a proceeding of a commission is a legal proceeding for the </w:t>
      </w:r>
      <w:r>
        <w:rPr>
          <w:i/>
        </w:rPr>
        <w:t xml:space="preserve">Criminal Code 2002 </w:t>
      </w:r>
      <w:r>
        <w:t xml:space="preserve">(ACT), </w:t>
      </w:r>
      <w:proofErr w:type="spellStart"/>
      <w:r>
        <w:t>ch</w:t>
      </w:r>
      <w:proofErr w:type="spellEnd"/>
      <w:r>
        <w:t xml:space="preserve"> 7; see also </w:t>
      </w:r>
      <w:r>
        <w:rPr>
          <w:i/>
        </w:rPr>
        <w:t xml:space="preserve">Criminal Code 2002 </w:t>
      </w:r>
      <w:r>
        <w:t>(ACT), s 701(1)(c).</w:t>
      </w:r>
    </w:p>
  </w:footnote>
  <w:footnote w:id="34">
    <w:p w14:paraId="29BD01F4" w14:textId="77777777" w:rsidR="00030303" w:rsidRDefault="00030303" w:rsidP="00030303">
      <w:pPr>
        <w:pStyle w:val="FootnoteText"/>
      </w:pPr>
      <w:r>
        <w:rPr>
          <w:rStyle w:val="FootnoteReference"/>
        </w:rPr>
        <w:footnoteRef/>
      </w:r>
      <w:r>
        <w:t xml:space="preserve"> Section 6I also applies to persons engaging with a Commission through a private session (s 6</w:t>
      </w:r>
      <w:proofErr w:type="gramStart"/>
      <w:r>
        <w:t>OC(</w:t>
      </w:r>
      <w:proofErr w:type="gramEnd"/>
      <w:r>
        <w:t>5)).</w:t>
      </w:r>
    </w:p>
  </w:footnote>
  <w:footnote w:id="35">
    <w:p w14:paraId="5300AD07" w14:textId="77777777" w:rsidR="00030303" w:rsidRDefault="00030303" w:rsidP="00030303">
      <w:pPr>
        <w:pStyle w:val="FootnoteText"/>
      </w:pPr>
      <w:r>
        <w:rPr>
          <w:rStyle w:val="FootnoteReference"/>
        </w:rPr>
        <w:footnoteRef/>
      </w:r>
      <w:r>
        <w:t xml:space="preserve"> Section 22 of the </w:t>
      </w:r>
      <w:r>
        <w:rPr>
          <w:i/>
        </w:rPr>
        <w:t xml:space="preserve">Commissions of Inquiry Act 1950 </w:t>
      </w:r>
      <w:r>
        <w:t xml:space="preserve">(Qld) clarifies that s 127 of the </w:t>
      </w:r>
      <w:r>
        <w:rPr>
          <w:i/>
        </w:rPr>
        <w:t xml:space="preserve">Criminal Code </w:t>
      </w:r>
      <w:r>
        <w:t>(Qld) applies to a Commission.</w:t>
      </w:r>
    </w:p>
  </w:footnote>
  <w:footnote w:id="36">
    <w:p w14:paraId="5BFAD902" w14:textId="77777777" w:rsidR="00030303" w:rsidRDefault="00030303" w:rsidP="00030303">
      <w:pPr>
        <w:pStyle w:val="FootnoteText"/>
      </w:pPr>
      <w:r>
        <w:rPr>
          <w:rStyle w:val="FootnoteReference"/>
        </w:rPr>
        <w:footnoteRef/>
      </w:r>
      <w:r>
        <w:t xml:space="preserve"> Section 6J also applies to persons engaging with a Commission through a private session (s 6</w:t>
      </w:r>
      <w:proofErr w:type="gramStart"/>
      <w:r>
        <w:t>OC(</w:t>
      </w:r>
      <w:proofErr w:type="gramEnd"/>
      <w:r>
        <w:t>5)).</w:t>
      </w:r>
    </w:p>
  </w:footnote>
  <w:footnote w:id="37">
    <w:p w14:paraId="4163F80B" w14:textId="77777777" w:rsidR="00030303" w:rsidRDefault="00030303" w:rsidP="00030303">
      <w:pPr>
        <w:pStyle w:val="FootnoteText"/>
      </w:pPr>
      <w:r>
        <w:rPr>
          <w:rStyle w:val="FootnoteReference"/>
        </w:rPr>
        <w:footnoteRef/>
      </w:r>
      <w:r>
        <w:t xml:space="preserve"> Section 22 of the </w:t>
      </w:r>
      <w:r>
        <w:rPr>
          <w:i/>
        </w:rPr>
        <w:t xml:space="preserve">Commissions of Inquiry Act 1950 </w:t>
      </w:r>
      <w:r>
        <w:t xml:space="preserve">(Qld) clarifies that s 128 of the </w:t>
      </w:r>
      <w:r>
        <w:rPr>
          <w:i/>
        </w:rPr>
        <w:t xml:space="preserve">Criminal Code </w:t>
      </w:r>
      <w:r>
        <w:t>(Qld) applies to a Commission.</w:t>
      </w:r>
    </w:p>
  </w:footnote>
  <w:footnote w:id="38">
    <w:p w14:paraId="332FA16D" w14:textId="77777777" w:rsidR="00030303" w:rsidRDefault="00030303" w:rsidP="00030303">
      <w:pPr>
        <w:pStyle w:val="FootnoteText"/>
      </w:pPr>
      <w:r>
        <w:rPr>
          <w:rStyle w:val="FootnoteReference"/>
        </w:rPr>
        <w:footnoteRef/>
      </w:r>
      <w:r>
        <w:t xml:space="preserve"> Section 6L also applies to persons engaging with a Commission through a private session (s 6</w:t>
      </w:r>
      <w:proofErr w:type="gramStart"/>
      <w:r>
        <w:t>OC(</w:t>
      </w:r>
      <w:proofErr w:type="gramEnd"/>
      <w:r>
        <w:t>5)).</w:t>
      </w:r>
    </w:p>
  </w:footnote>
  <w:footnote w:id="39">
    <w:p w14:paraId="4550ADDC" w14:textId="77777777" w:rsidR="00030303" w:rsidRDefault="00030303" w:rsidP="00030303">
      <w:pPr>
        <w:pStyle w:val="FootnoteText"/>
      </w:pPr>
      <w:r>
        <w:rPr>
          <w:rStyle w:val="FootnoteReference"/>
        </w:rPr>
        <w:footnoteRef/>
      </w:r>
      <w:r>
        <w:t xml:space="preserve"> Section 22 of the </w:t>
      </w:r>
      <w:r>
        <w:rPr>
          <w:i/>
        </w:rPr>
        <w:t xml:space="preserve">Commissions of Inquiry Act 1950 </w:t>
      </w:r>
      <w:r>
        <w:t xml:space="preserve">(Qld) clarifies that s 130 of the </w:t>
      </w:r>
      <w:r>
        <w:rPr>
          <w:i/>
        </w:rPr>
        <w:t xml:space="preserve">Criminal Code </w:t>
      </w:r>
      <w:r>
        <w:t>(Qld) applies to a Commission.</w:t>
      </w:r>
    </w:p>
  </w:footnote>
  <w:footnote w:id="40">
    <w:p w14:paraId="432AB3E7" w14:textId="77777777" w:rsidR="00030303" w:rsidRDefault="00030303" w:rsidP="00030303">
      <w:pPr>
        <w:pStyle w:val="FootnoteText"/>
      </w:pPr>
      <w:r>
        <w:rPr>
          <w:rStyle w:val="FootnoteReference"/>
        </w:rPr>
        <w:footnoteRef/>
      </w:r>
      <w:r>
        <w:t xml:space="preserve"> This provision also applies to persons engaging with a Commission through a private session (s 19</w:t>
      </w:r>
      <w:proofErr w:type="gramStart"/>
      <w:r>
        <w:t>C(</w:t>
      </w:r>
      <w:proofErr w:type="gramEnd"/>
      <w:r>
        <w:t xml:space="preserve">4)). </w:t>
      </w:r>
    </w:p>
  </w:footnote>
  <w:footnote w:id="41">
    <w:p w14:paraId="58447CBC" w14:textId="77777777" w:rsidR="00030303" w:rsidRDefault="00030303" w:rsidP="00030303">
      <w:pPr>
        <w:pStyle w:val="FootnoteText"/>
      </w:pPr>
      <w:r>
        <w:rPr>
          <w:rStyle w:val="FootnoteReference"/>
        </w:rPr>
        <w:footnoteRef/>
      </w:r>
      <w:r>
        <w:t xml:space="preserve"> Section 49 creates a general offence for conduct that ‘hinders, obstructs or causes serious disruption to a proceeding of the Royal Commission’. Preventing a witness from attending might come within this provision. </w:t>
      </w:r>
    </w:p>
  </w:footnote>
  <w:footnote w:id="42">
    <w:p w14:paraId="56720DA4" w14:textId="77777777" w:rsidR="00030303" w:rsidRDefault="00030303" w:rsidP="00030303">
      <w:pPr>
        <w:pStyle w:val="FootnoteText"/>
      </w:pPr>
      <w:r>
        <w:rPr>
          <w:rStyle w:val="FootnoteReference"/>
        </w:rPr>
        <w:footnoteRef/>
      </w:r>
      <w:r>
        <w:t xml:space="preserve"> Section 6M also applies to persons engaging with a Commission through a private session (s 6</w:t>
      </w:r>
      <w:proofErr w:type="gramStart"/>
      <w:r>
        <w:t>OC(</w:t>
      </w:r>
      <w:proofErr w:type="gramEnd"/>
      <w:r>
        <w:t>5)).</w:t>
      </w:r>
    </w:p>
  </w:footnote>
  <w:footnote w:id="43">
    <w:p w14:paraId="70822225" w14:textId="77777777" w:rsidR="00030303" w:rsidRDefault="00030303" w:rsidP="00030303">
      <w:pPr>
        <w:pStyle w:val="FootnoteText"/>
      </w:pPr>
      <w:r>
        <w:rPr>
          <w:rStyle w:val="FootnoteReference"/>
        </w:rPr>
        <w:footnoteRef/>
      </w:r>
      <w:r>
        <w:t xml:space="preserve"> The </w:t>
      </w:r>
      <w:r>
        <w:rPr>
          <w:i/>
        </w:rPr>
        <w:t xml:space="preserve">Criminal Code </w:t>
      </w:r>
      <w:r>
        <w:t>(Qld) includes an offence provision titled ‘Retaliation against or intimidation of judicial officer, juror, witness etc.’ (s 119B) which applies in ‘judicial proceedings’. Section 119 defines ‘judicial proceeding’ as including ‘any proceeding had or taken in or before any court, tribunal or person, in which evidence may be taken on oath’. A Commission may be covered as ‘a proceeding before any person’ (</w:t>
      </w:r>
      <w:proofErr w:type="spellStart"/>
      <w:r>
        <w:t>ie</w:t>
      </w:r>
      <w:proofErr w:type="spellEnd"/>
      <w:r>
        <w:t xml:space="preserve"> a Commissioner). While s 22 of the </w:t>
      </w:r>
      <w:r>
        <w:rPr>
          <w:i/>
        </w:rPr>
        <w:t xml:space="preserve">Commissions of Inquiry Act 1950 </w:t>
      </w:r>
      <w:r>
        <w:t>(Qld) ‘</w:t>
      </w:r>
      <w:proofErr w:type="spellStart"/>
      <w:r>
        <w:t>remov</w:t>
      </w:r>
      <w:proofErr w:type="spellEnd"/>
      <w:r>
        <w:t xml:space="preserve">[es] any doubt’ as to the application of other administration of justice offences included in the same part as s 119B, it does not expressly cover s 119B. </w:t>
      </w:r>
    </w:p>
  </w:footnote>
  <w:footnote w:id="44">
    <w:p w14:paraId="4B64CFEA" w14:textId="77777777" w:rsidR="00030303" w:rsidRDefault="00030303" w:rsidP="00030303">
      <w:pPr>
        <w:pStyle w:val="FootnoteText"/>
      </w:pPr>
      <w:r>
        <w:rPr>
          <w:rStyle w:val="FootnoteReference"/>
        </w:rPr>
        <w:footnoteRef/>
      </w:r>
      <w:r>
        <w:t xml:space="preserve"> This provision also applies to persons engaging with a Commission through a private session (s 19</w:t>
      </w:r>
      <w:proofErr w:type="gramStart"/>
      <w:r>
        <w:t>C(</w:t>
      </w:r>
      <w:proofErr w:type="gramEnd"/>
      <w:r>
        <w:t xml:space="preserve">4)). </w:t>
      </w:r>
    </w:p>
  </w:footnote>
  <w:footnote w:id="45">
    <w:p w14:paraId="75892231" w14:textId="77777777" w:rsidR="00030303" w:rsidRDefault="00030303" w:rsidP="00030303">
      <w:pPr>
        <w:pStyle w:val="FootnoteText"/>
      </w:pPr>
      <w:r>
        <w:rPr>
          <w:rStyle w:val="FootnoteReference"/>
        </w:rPr>
        <w:footnoteRef/>
      </w:r>
      <w:r>
        <w:t xml:space="preserve"> Section 6N also applies to persons engaging with a Commission through a private session (s 6</w:t>
      </w:r>
      <w:proofErr w:type="gramStart"/>
      <w:r>
        <w:t>OC(</w:t>
      </w:r>
      <w:proofErr w:type="gramEnd"/>
      <w:r>
        <w:t>5)).</w:t>
      </w:r>
    </w:p>
  </w:footnote>
  <w:footnote w:id="46">
    <w:p w14:paraId="28F19801" w14:textId="77777777" w:rsidR="00030303" w:rsidRDefault="00030303" w:rsidP="00030303">
      <w:pPr>
        <w:pStyle w:val="FootnoteText"/>
      </w:pPr>
      <w:r>
        <w:rPr>
          <w:rStyle w:val="FootnoteReference"/>
        </w:rPr>
        <w:footnoteRef/>
      </w:r>
      <w:r>
        <w:t xml:space="preserve"> This provision also applies to persons engaging with a Commission through a private session (s 19</w:t>
      </w:r>
      <w:proofErr w:type="gramStart"/>
      <w:r>
        <w:t>C(</w:t>
      </w:r>
      <w:proofErr w:type="gramEnd"/>
      <w:r>
        <w:t xml:space="preserve">4)). </w:t>
      </w:r>
    </w:p>
  </w:footnote>
  <w:footnote w:id="47">
    <w:p w14:paraId="68745512" w14:textId="77777777" w:rsidR="00030303" w:rsidRDefault="00030303" w:rsidP="00030303">
      <w:pPr>
        <w:pStyle w:val="FootnoteText"/>
      </w:pPr>
      <w:r>
        <w:rPr>
          <w:rStyle w:val="FootnoteReference"/>
        </w:rPr>
        <w:footnoteRef/>
      </w:r>
      <w:r>
        <w:t xml:space="preserve"> </w:t>
      </w:r>
      <w:r w:rsidRPr="0041322D">
        <w:rPr>
          <w:i/>
        </w:rPr>
        <w:t>National Disability Insurance Scheme Act 2013</w:t>
      </w:r>
      <w:r>
        <w:rPr>
          <w:i/>
        </w:rPr>
        <w:t xml:space="preserve">, </w:t>
      </w:r>
      <w:r w:rsidRPr="00E250B5">
        <w:t>s</w:t>
      </w:r>
      <w:r>
        <w:t xml:space="preserve"> </w:t>
      </w:r>
      <w:r w:rsidRPr="00E250B5">
        <w:t>207 expresses the intention of the Parliament that the NDIS Act is not to apply to the exclusion of State or Territory laws that are capable of operating concurrently with the Act</w:t>
      </w:r>
      <w:r>
        <w:t>.</w:t>
      </w:r>
    </w:p>
  </w:footnote>
  <w:footnote w:id="48">
    <w:p w14:paraId="51F08CD9" w14:textId="77777777" w:rsidR="00030303" w:rsidRPr="00FC304E" w:rsidRDefault="00030303" w:rsidP="00030303">
      <w:pPr>
        <w:pStyle w:val="FootnoteText"/>
        <w:rPr>
          <w:lang w:val="en-US"/>
        </w:rPr>
      </w:pPr>
      <w:r>
        <w:rPr>
          <w:rStyle w:val="FootnoteReference"/>
        </w:rPr>
        <w:footnoteRef/>
      </w:r>
      <w:r>
        <w:t xml:space="preserve"> </w:t>
      </w:r>
      <w:r>
        <w:rPr>
          <w:lang w:val="en-US"/>
        </w:rPr>
        <w:t xml:space="preserve">NDIS Act s 22(1)(a). </w:t>
      </w:r>
    </w:p>
  </w:footnote>
  <w:footnote w:id="49">
    <w:p w14:paraId="14585499" w14:textId="77777777" w:rsidR="00030303" w:rsidRDefault="00030303" w:rsidP="00030303">
      <w:pPr>
        <w:pStyle w:val="FootnoteText"/>
      </w:pPr>
      <w:r>
        <w:rPr>
          <w:rStyle w:val="FootnoteReference"/>
        </w:rPr>
        <w:footnoteRef/>
      </w:r>
      <w:r>
        <w:t xml:space="preserve"> </w:t>
      </w:r>
      <w:r w:rsidRPr="00E6680F">
        <w:rPr>
          <w:i/>
        </w:rPr>
        <w:t>National Disability Insurance Scheme (Provider Registration and Practice Standards) Rules 2018</w:t>
      </w:r>
      <w:r>
        <w:t>, preamble.</w:t>
      </w:r>
    </w:p>
  </w:footnote>
  <w:footnote w:id="50">
    <w:p w14:paraId="1BB23D69" w14:textId="77777777" w:rsidR="00030303" w:rsidRPr="003873E3" w:rsidRDefault="00030303" w:rsidP="00030303">
      <w:pPr>
        <w:pStyle w:val="FootnoteText"/>
      </w:pPr>
      <w:r>
        <w:rPr>
          <w:rStyle w:val="FootnoteReference"/>
        </w:rPr>
        <w:footnoteRef/>
      </w:r>
      <w:r>
        <w:t xml:space="preserve"> </w:t>
      </w:r>
      <w:r w:rsidRPr="00D97A04">
        <w:t>NDIS Act</w:t>
      </w:r>
      <w:r w:rsidRPr="003873E3">
        <w:t>,</w:t>
      </w:r>
      <w:r>
        <w:t xml:space="preserve"> s 73</w:t>
      </w:r>
      <w:proofErr w:type="gramStart"/>
      <w:r>
        <w:t>V(</w:t>
      </w:r>
      <w:proofErr w:type="gramEnd"/>
      <w:r>
        <w:t>3).</w:t>
      </w:r>
    </w:p>
  </w:footnote>
  <w:footnote w:id="51">
    <w:p w14:paraId="1FEAB818" w14:textId="77777777" w:rsidR="00030303" w:rsidRDefault="00030303" w:rsidP="00030303">
      <w:pPr>
        <w:pStyle w:val="FootnoteText"/>
        <w:rPr>
          <w:lang w:val="en-US"/>
        </w:rPr>
      </w:pPr>
      <w:r>
        <w:rPr>
          <w:rStyle w:val="FootnoteReference"/>
        </w:rPr>
        <w:footnoteRef/>
      </w:r>
      <w:r>
        <w:t xml:space="preserve"> </w:t>
      </w:r>
      <w:r>
        <w:rPr>
          <w:lang w:val="en-US"/>
        </w:rPr>
        <w:t>Department of Health (</w:t>
      </w:r>
      <w:proofErr w:type="spellStart"/>
      <w:r>
        <w:rPr>
          <w:lang w:val="en-US"/>
        </w:rPr>
        <w:t>Cth</w:t>
      </w:r>
      <w:proofErr w:type="spellEnd"/>
      <w:r>
        <w:rPr>
          <w:lang w:val="en-US"/>
        </w:rPr>
        <w:t xml:space="preserve">), </w:t>
      </w:r>
      <w:r>
        <w:rPr>
          <w:i/>
          <w:lang w:val="en-US"/>
        </w:rPr>
        <w:t xml:space="preserve">About the </w:t>
      </w:r>
      <w:r w:rsidRPr="00964869">
        <w:rPr>
          <w:i/>
        </w:rPr>
        <w:t>Disability Support for Older Australians</w:t>
      </w:r>
      <w:r>
        <w:rPr>
          <w:i/>
          <w:lang w:val="en-US"/>
        </w:rPr>
        <w:t xml:space="preserve"> Program </w:t>
      </w:r>
      <w:r>
        <w:rPr>
          <w:lang w:val="en-US"/>
        </w:rPr>
        <w:t xml:space="preserve">(12 August 2021). See also items 153, 154 and 470 in Part 4, Schedule 1AB of the </w:t>
      </w:r>
      <w:r>
        <w:rPr>
          <w:i/>
          <w:lang w:val="en-US"/>
        </w:rPr>
        <w:t>Financial Framework (Supplementary Powers) Regulations 199</w:t>
      </w:r>
      <w:r>
        <w:rPr>
          <w:lang w:val="en-US"/>
        </w:rPr>
        <w:t>7 (</w:t>
      </w:r>
      <w:proofErr w:type="spellStart"/>
      <w:r>
        <w:rPr>
          <w:lang w:val="en-US"/>
        </w:rPr>
        <w:t>Cth</w:t>
      </w:r>
      <w:proofErr w:type="spellEnd"/>
      <w:r>
        <w:rPr>
          <w:lang w:val="en-US"/>
        </w:rPr>
        <w:t>), which provides the legislative authority for the program (with reference to the former Continuity of Service program, which was replaced by the DSOA program on 1 July 2021).</w:t>
      </w:r>
    </w:p>
  </w:footnote>
  <w:footnote w:id="52">
    <w:p w14:paraId="0AA5271F" w14:textId="77777777" w:rsidR="00030303" w:rsidRDefault="00030303" w:rsidP="00030303">
      <w:pPr>
        <w:pStyle w:val="FootnoteText"/>
        <w:rPr>
          <w:i/>
          <w:lang w:val="en-US"/>
        </w:rPr>
      </w:pPr>
      <w:r>
        <w:rPr>
          <w:rStyle w:val="FootnoteReference"/>
        </w:rPr>
        <w:footnoteRef/>
      </w:r>
      <w:r>
        <w:t xml:space="preserve"> </w:t>
      </w:r>
      <w:r>
        <w:rPr>
          <w:lang w:val="en-US"/>
        </w:rPr>
        <w:t>Department of Health (</w:t>
      </w:r>
      <w:proofErr w:type="spellStart"/>
      <w:r>
        <w:rPr>
          <w:lang w:val="en-US"/>
        </w:rPr>
        <w:t>Cth</w:t>
      </w:r>
      <w:proofErr w:type="spellEnd"/>
      <w:r>
        <w:rPr>
          <w:lang w:val="en-US"/>
        </w:rPr>
        <w:t xml:space="preserve">), </w:t>
      </w:r>
      <w:r>
        <w:rPr>
          <w:i/>
          <w:lang w:val="en-US"/>
        </w:rPr>
        <w:t xml:space="preserve">Responsibilities of Disability Support for Older Australians Program service coordinators </w:t>
      </w:r>
      <w:r>
        <w:rPr>
          <w:lang w:val="en-US"/>
        </w:rPr>
        <w:t>(12 August 2021).</w:t>
      </w:r>
    </w:p>
  </w:footnote>
  <w:footnote w:id="53">
    <w:p w14:paraId="7CDA7ECA" w14:textId="77777777" w:rsidR="00030303" w:rsidRDefault="00030303" w:rsidP="00030303">
      <w:pPr>
        <w:pStyle w:val="FootnoteText"/>
      </w:pPr>
      <w:r>
        <w:rPr>
          <w:rStyle w:val="FootnoteReference"/>
        </w:rPr>
        <w:footnoteRef/>
      </w:r>
      <w:r>
        <w:t xml:space="preserve"> </w:t>
      </w:r>
      <w:r>
        <w:rPr>
          <w:lang w:val="en-US"/>
        </w:rPr>
        <w:t>Department of Health (</w:t>
      </w:r>
      <w:proofErr w:type="spellStart"/>
      <w:r>
        <w:rPr>
          <w:lang w:val="en-US"/>
        </w:rPr>
        <w:t>Cth</w:t>
      </w:r>
      <w:proofErr w:type="spellEnd"/>
      <w:r>
        <w:rPr>
          <w:lang w:val="en-US"/>
        </w:rPr>
        <w:t xml:space="preserve">), </w:t>
      </w:r>
      <w:r w:rsidRPr="00811576">
        <w:rPr>
          <w:i/>
          <w:lang w:val="en-US"/>
        </w:rPr>
        <w:t>Disability Support for Older Australians</w:t>
      </w:r>
      <w:r>
        <w:rPr>
          <w:i/>
          <w:lang w:val="en-US"/>
        </w:rPr>
        <w:t xml:space="preserve">: </w:t>
      </w:r>
      <w:r w:rsidRPr="00811576">
        <w:rPr>
          <w:i/>
          <w:lang w:val="en-US"/>
        </w:rPr>
        <w:t>Program Manual</w:t>
      </w:r>
      <w:r>
        <w:rPr>
          <w:i/>
          <w:lang w:val="en-US"/>
        </w:rPr>
        <w:t xml:space="preserve"> (Version 6)</w:t>
      </w:r>
      <w:r w:rsidRPr="00811576">
        <w:rPr>
          <w:i/>
          <w:lang w:val="en-US"/>
        </w:rPr>
        <w:t xml:space="preserve"> </w:t>
      </w:r>
      <w:r>
        <w:rPr>
          <w:lang w:val="en-US"/>
        </w:rPr>
        <w:t>(December 2021), see 8.1</w:t>
      </w:r>
    </w:p>
  </w:footnote>
  <w:footnote w:id="54">
    <w:p w14:paraId="653F03DE" w14:textId="77777777" w:rsidR="00030303" w:rsidRDefault="00030303" w:rsidP="00030303">
      <w:pPr>
        <w:pStyle w:val="FootnoteText"/>
      </w:pPr>
      <w:r>
        <w:rPr>
          <w:rStyle w:val="FootnoteReference"/>
        </w:rPr>
        <w:footnoteRef/>
      </w:r>
      <w:r>
        <w:t xml:space="preserve"> NDIS Act s 9 (definition of ‘NDIS provider’);</w:t>
      </w:r>
      <w:r>
        <w:rPr>
          <w:i/>
        </w:rPr>
        <w:t xml:space="preserve"> National Disability Insurance Scheme (NDIS Provider Definition) Rule 2018</w:t>
      </w:r>
      <w:r>
        <w:t xml:space="preserve"> s 5. </w:t>
      </w:r>
    </w:p>
  </w:footnote>
  <w:footnote w:id="55">
    <w:p w14:paraId="3D84387C" w14:textId="77777777" w:rsidR="00030303" w:rsidRDefault="00030303" w:rsidP="00030303">
      <w:pPr>
        <w:pStyle w:val="FootnoteText"/>
      </w:pPr>
      <w:r>
        <w:rPr>
          <w:rStyle w:val="FootnoteReference"/>
        </w:rPr>
        <w:footnoteRef/>
      </w:r>
      <w:r>
        <w:t xml:space="preserve"> NDIS Act ss 73A, 73B. </w:t>
      </w:r>
    </w:p>
  </w:footnote>
  <w:footnote w:id="56">
    <w:p w14:paraId="1477C8E9" w14:textId="77777777" w:rsidR="00030303" w:rsidRDefault="00030303" w:rsidP="00030303">
      <w:pPr>
        <w:pStyle w:val="FootnoteText"/>
      </w:pPr>
      <w:r>
        <w:rPr>
          <w:rStyle w:val="FootnoteReference"/>
        </w:rPr>
        <w:footnoteRef/>
      </w:r>
      <w:r>
        <w:t xml:space="preserve"> NDIS Act s 73V.</w:t>
      </w:r>
    </w:p>
  </w:footnote>
  <w:footnote w:id="57">
    <w:p w14:paraId="526360A5" w14:textId="77777777" w:rsidR="00030303" w:rsidRDefault="00030303" w:rsidP="00030303">
      <w:pPr>
        <w:pStyle w:val="FootnoteText"/>
        <w:rPr>
          <w:lang w:val="en-US"/>
        </w:rPr>
      </w:pPr>
      <w:r>
        <w:rPr>
          <w:rStyle w:val="FootnoteReference"/>
        </w:rPr>
        <w:footnoteRef/>
      </w:r>
      <w:r>
        <w:t xml:space="preserve"> </w:t>
      </w:r>
      <w:r>
        <w:rPr>
          <w:lang w:val="en-US"/>
        </w:rPr>
        <w:t>Department of Health (</w:t>
      </w:r>
      <w:proofErr w:type="spellStart"/>
      <w:r>
        <w:rPr>
          <w:lang w:val="en-US"/>
        </w:rPr>
        <w:t>Cth</w:t>
      </w:r>
      <w:proofErr w:type="spellEnd"/>
      <w:r>
        <w:rPr>
          <w:lang w:val="en-US"/>
        </w:rPr>
        <w:t xml:space="preserve">), </w:t>
      </w:r>
      <w:r w:rsidRPr="00811576">
        <w:rPr>
          <w:i/>
          <w:lang w:val="en-US"/>
        </w:rPr>
        <w:t>Disability Support for Older Australians</w:t>
      </w:r>
      <w:r>
        <w:rPr>
          <w:i/>
          <w:lang w:val="en-US"/>
        </w:rPr>
        <w:t xml:space="preserve">: </w:t>
      </w:r>
      <w:r w:rsidRPr="00811576">
        <w:rPr>
          <w:i/>
          <w:lang w:val="en-US"/>
        </w:rPr>
        <w:t>Program Manual</w:t>
      </w:r>
      <w:r>
        <w:rPr>
          <w:i/>
          <w:lang w:val="en-US"/>
        </w:rPr>
        <w:t xml:space="preserve"> (Version 6)</w:t>
      </w:r>
      <w:r w:rsidRPr="00811576">
        <w:rPr>
          <w:i/>
          <w:lang w:val="en-US"/>
        </w:rPr>
        <w:t xml:space="preserve"> </w:t>
      </w:r>
      <w:r>
        <w:rPr>
          <w:lang w:val="en-US"/>
        </w:rPr>
        <w:t>(December 2021), see 8.3.</w:t>
      </w:r>
    </w:p>
  </w:footnote>
  <w:footnote w:id="58">
    <w:p w14:paraId="497F7727" w14:textId="77777777" w:rsidR="00030303" w:rsidRDefault="00030303" w:rsidP="00030303">
      <w:pPr>
        <w:pStyle w:val="FootnoteText"/>
      </w:pPr>
      <w:r>
        <w:rPr>
          <w:rStyle w:val="FootnoteReference"/>
        </w:rPr>
        <w:footnoteRef/>
      </w:r>
      <w:r>
        <w:t xml:space="preserve"> </w:t>
      </w:r>
      <w:r>
        <w:rPr>
          <w:lang w:val="en-US"/>
        </w:rPr>
        <w:t>Department of Health (</w:t>
      </w:r>
      <w:proofErr w:type="spellStart"/>
      <w:r>
        <w:rPr>
          <w:lang w:val="en-US"/>
        </w:rPr>
        <w:t>Cth</w:t>
      </w:r>
      <w:proofErr w:type="spellEnd"/>
      <w:r>
        <w:rPr>
          <w:lang w:val="en-US"/>
        </w:rPr>
        <w:t xml:space="preserve">), </w:t>
      </w:r>
      <w:r w:rsidRPr="00811576">
        <w:rPr>
          <w:i/>
          <w:lang w:val="en-US"/>
        </w:rPr>
        <w:t>Disability Support for Older Australians</w:t>
      </w:r>
      <w:r>
        <w:rPr>
          <w:i/>
          <w:lang w:val="en-US"/>
        </w:rPr>
        <w:t xml:space="preserve">: </w:t>
      </w:r>
      <w:r w:rsidRPr="00811576">
        <w:rPr>
          <w:i/>
          <w:lang w:val="en-US"/>
        </w:rPr>
        <w:t>Program Manual</w:t>
      </w:r>
      <w:r>
        <w:rPr>
          <w:i/>
          <w:lang w:val="en-US"/>
        </w:rPr>
        <w:t xml:space="preserve"> (Version 6)</w:t>
      </w:r>
      <w:r w:rsidRPr="00811576">
        <w:rPr>
          <w:i/>
          <w:lang w:val="en-US"/>
        </w:rPr>
        <w:t xml:space="preserve"> </w:t>
      </w:r>
      <w:r>
        <w:rPr>
          <w:lang w:val="en-US"/>
        </w:rPr>
        <w:t>(December 2021), see 8.1.</w:t>
      </w:r>
    </w:p>
  </w:footnote>
  <w:footnote w:id="59">
    <w:p w14:paraId="3A0AEB82" w14:textId="77777777" w:rsidR="00030303" w:rsidRDefault="00030303" w:rsidP="00030303">
      <w:pPr>
        <w:pStyle w:val="FootnoteText"/>
      </w:pPr>
      <w:r>
        <w:rPr>
          <w:rStyle w:val="FootnoteReference"/>
        </w:rPr>
        <w:footnoteRef/>
      </w:r>
      <w:r>
        <w:t xml:space="preserve"> NDIS Act, Chapter 6A.</w:t>
      </w:r>
    </w:p>
  </w:footnote>
  <w:footnote w:id="60">
    <w:p w14:paraId="4FF9B9FC" w14:textId="77777777" w:rsidR="00030303" w:rsidRPr="00841881" w:rsidRDefault="00030303" w:rsidP="00030303">
      <w:pPr>
        <w:pStyle w:val="FootnoteText"/>
      </w:pPr>
      <w:r>
        <w:rPr>
          <w:rStyle w:val="FootnoteReference"/>
        </w:rPr>
        <w:footnoteRef/>
      </w:r>
      <w:r>
        <w:t xml:space="preserve"> NDIS Act, s 73V; </w:t>
      </w:r>
      <w:r w:rsidRPr="00B44CD2">
        <w:rPr>
          <w:i/>
        </w:rPr>
        <w:t>National Disability Insurance Scheme (Code of Conduct) Rules 2018</w:t>
      </w:r>
      <w:r>
        <w:t>.</w:t>
      </w:r>
    </w:p>
  </w:footnote>
  <w:footnote w:id="61">
    <w:p w14:paraId="3A60D7A2" w14:textId="77777777" w:rsidR="00030303" w:rsidRPr="00841881" w:rsidRDefault="00030303" w:rsidP="00030303">
      <w:pPr>
        <w:pStyle w:val="FootnoteText"/>
      </w:pPr>
      <w:r>
        <w:rPr>
          <w:rStyle w:val="FootnoteReference"/>
        </w:rPr>
        <w:footnoteRef/>
      </w:r>
      <w:r>
        <w:t xml:space="preserve"> NDIS Act, ss 73T; </w:t>
      </w:r>
      <w:r w:rsidRPr="00B44CD2">
        <w:rPr>
          <w:i/>
        </w:rPr>
        <w:t>National Disability Insurance Scheme (Provider Registration and Practice Standards) Rules 2018</w:t>
      </w:r>
      <w:r>
        <w:t>.</w:t>
      </w:r>
    </w:p>
  </w:footnote>
  <w:footnote w:id="62">
    <w:p w14:paraId="303D2896" w14:textId="77777777" w:rsidR="00030303" w:rsidRPr="00841881" w:rsidRDefault="00030303" w:rsidP="00030303">
      <w:pPr>
        <w:pStyle w:val="FootnoteText"/>
      </w:pPr>
      <w:r>
        <w:rPr>
          <w:rStyle w:val="FootnoteReference"/>
        </w:rPr>
        <w:footnoteRef/>
      </w:r>
      <w:r>
        <w:t xml:space="preserve"> NDIS Act, </w:t>
      </w:r>
      <w:proofErr w:type="spellStart"/>
      <w:r>
        <w:t>Div</w:t>
      </w:r>
      <w:proofErr w:type="spellEnd"/>
      <w:r>
        <w:t xml:space="preserve"> 5, Part 3A; </w:t>
      </w:r>
      <w:r>
        <w:rPr>
          <w:i/>
        </w:rPr>
        <w:t>National Disability Insurance Scheme (Complaints Management and Resolution) Rules 2018</w:t>
      </w:r>
      <w:r>
        <w:t>.</w:t>
      </w:r>
    </w:p>
  </w:footnote>
  <w:footnote w:id="63">
    <w:p w14:paraId="354AC7F4" w14:textId="77777777" w:rsidR="00030303" w:rsidRPr="00841881" w:rsidRDefault="00030303" w:rsidP="00030303">
      <w:pPr>
        <w:pStyle w:val="FootnoteText"/>
      </w:pPr>
      <w:r>
        <w:rPr>
          <w:rStyle w:val="FootnoteReference"/>
        </w:rPr>
        <w:footnoteRef/>
      </w:r>
      <w:r>
        <w:t xml:space="preserve"> NDIS Act, s 73Z; </w:t>
      </w:r>
      <w:r>
        <w:rPr>
          <w:i/>
        </w:rPr>
        <w:t>National Disability Insurance Scheme (Incident Management and Reportable Incidents) Rules 2018</w:t>
      </w:r>
      <w:r>
        <w:t>.</w:t>
      </w:r>
    </w:p>
  </w:footnote>
  <w:footnote w:id="64">
    <w:p w14:paraId="10E59DBB" w14:textId="77777777" w:rsidR="00030303" w:rsidRDefault="00030303" w:rsidP="00030303">
      <w:pPr>
        <w:pStyle w:val="FootnoteText"/>
      </w:pPr>
      <w:r>
        <w:rPr>
          <w:rStyle w:val="FootnoteReference"/>
        </w:rPr>
        <w:footnoteRef/>
      </w:r>
      <w:r>
        <w:t xml:space="preserve"> NDIS Act, ss 73N, 73P, 73ZM, and 73ZN.</w:t>
      </w:r>
    </w:p>
  </w:footnote>
  <w:footnote w:id="65">
    <w:p w14:paraId="53E0CA5A" w14:textId="77777777" w:rsidR="00030303" w:rsidRDefault="00030303" w:rsidP="00030303">
      <w:pPr>
        <w:pStyle w:val="FootnoteText"/>
      </w:pPr>
      <w:r>
        <w:rPr>
          <w:rStyle w:val="FootnoteReference"/>
        </w:rPr>
        <w:footnoteRef/>
      </w:r>
      <w:r>
        <w:t xml:space="preserve"> </w:t>
      </w:r>
      <w:r w:rsidRPr="00664F03">
        <w:t>Commonwealth DS Act</w:t>
      </w:r>
      <w:r>
        <w:t xml:space="preserve">, </w:t>
      </w:r>
      <w:proofErr w:type="spellStart"/>
      <w:r>
        <w:t>Div</w:t>
      </w:r>
      <w:proofErr w:type="spellEnd"/>
      <w:r>
        <w:t xml:space="preserve"> 3, Part 2; </w:t>
      </w:r>
      <w:r>
        <w:rPr>
          <w:lang w:val="en-US"/>
        </w:rPr>
        <w:t xml:space="preserve">items 51 and 53 in Part 4, Schedule 1AB of the </w:t>
      </w:r>
      <w:r>
        <w:rPr>
          <w:i/>
          <w:lang w:val="en-US"/>
        </w:rPr>
        <w:t>Financial Framework (Supplementary Powers) Regulations 199</w:t>
      </w:r>
      <w:r>
        <w:rPr>
          <w:lang w:val="en-US"/>
        </w:rPr>
        <w:t>7 (</w:t>
      </w:r>
      <w:proofErr w:type="spellStart"/>
      <w:r>
        <w:rPr>
          <w:lang w:val="en-US"/>
        </w:rPr>
        <w:t>Cth</w:t>
      </w:r>
      <w:proofErr w:type="spellEnd"/>
      <w:r>
        <w:rPr>
          <w:lang w:val="en-US"/>
        </w:rPr>
        <w:t>).</w:t>
      </w:r>
    </w:p>
  </w:footnote>
  <w:footnote w:id="66">
    <w:p w14:paraId="71BFBA1B" w14:textId="77777777" w:rsidR="00030303" w:rsidRDefault="00030303" w:rsidP="00030303">
      <w:pPr>
        <w:pStyle w:val="FootnoteText"/>
      </w:pPr>
      <w:r>
        <w:rPr>
          <w:rStyle w:val="FootnoteReference"/>
        </w:rPr>
        <w:footnoteRef/>
      </w:r>
      <w:r>
        <w:t xml:space="preserve"> </w:t>
      </w:r>
      <w:r w:rsidRPr="00664F03">
        <w:t>Commonwealth DS Act</w:t>
      </w:r>
      <w:r>
        <w:t xml:space="preserve">, </w:t>
      </w:r>
      <w:proofErr w:type="spellStart"/>
      <w:r>
        <w:t>Div</w:t>
      </w:r>
      <w:proofErr w:type="spellEnd"/>
      <w:r>
        <w:t xml:space="preserve"> 2A, Part 2; </w:t>
      </w:r>
      <w:r>
        <w:rPr>
          <w:lang w:val="en-US"/>
        </w:rPr>
        <w:t xml:space="preserve">items 49 and 5.0 in Part 4, Schedule 1AB of the </w:t>
      </w:r>
      <w:r>
        <w:rPr>
          <w:i/>
          <w:lang w:val="en-US"/>
        </w:rPr>
        <w:t>Financial Framework (Supplementary Powers) Regulations 199</w:t>
      </w:r>
      <w:r>
        <w:rPr>
          <w:lang w:val="en-US"/>
        </w:rPr>
        <w:t>7 (</w:t>
      </w:r>
      <w:proofErr w:type="spellStart"/>
      <w:r>
        <w:rPr>
          <w:lang w:val="en-US"/>
        </w:rPr>
        <w:t>Cth</w:t>
      </w:r>
      <w:proofErr w:type="spellEnd"/>
      <w:r>
        <w:rPr>
          <w:lang w:val="en-US"/>
        </w:rPr>
        <w:t>).</w:t>
      </w:r>
    </w:p>
  </w:footnote>
  <w:footnote w:id="67">
    <w:p w14:paraId="63538EB9" w14:textId="77777777" w:rsidR="00030303" w:rsidRPr="00E6680F" w:rsidRDefault="00030303" w:rsidP="00030303">
      <w:pPr>
        <w:pStyle w:val="FootnoteText"/>
      </w:pPr>
      <w:r>
        <w:rPr>
          <w:rStyle w:val="FootnoteReference"/>
        </w:rPr>
        <w:footnoteRef/>
      </w:r>
      <w:r>
        <w:t xml:space="preserve"> </w:t>
      </w:r>
      <w:r w:rsidRPr="00993A36">
        <w:rPr>
          <w:i/>
        </w:rPr>
        <w:t>National Disability Insurance Scheme (Code of Conduct) Rules 2018</w:t>
      </w:r>
      <w:r>
        <w:t xml:space="preserve">, s 6(c)-(f); </w:t>
      </w:r>
      <w:r w:rsidRPr="00E6680F">
        <w:rPr>
          <w:i/>
        </w:rPr>
        <w:t>National Disability Insurance Scheme (Provider Registration and Practice Standards) Rules 2018</w:t>
      </w:r>
      <w:r>
        <w:t>, Schedule 1, s 7, 13(2).</w:t>
      </w:r>
    </w:p>
  </w:footnote>
  <w:footnote w:id="68">
    <w:p w14:paraId="17974539" w14:textId="77777777" w:rsidR="00030303" w:rsidRDefault="00030303" w:rsidP="00030303">
      <w:pPr>
        <w:pStyle w:val="FootnoteText"/>
      </w:pPr>
      <w:r>
        <w:rPr>
          <w:rStyle w:val="FootnoteReference"/>
        </w:rPr>
        <w:footnoteRef/>
      </w:r>
      <w:r>
        <w:t xml:space="preserve"> NDIS Act, s73ZF.</w:t>
      </w:r>
    </w:p>
  </w:footnote>
  <w:footnote w:id="69">
    <w:p w14:paraId="21475268" w14:textId="77777777" w:rsidR="00030303" w:rsidRDefault="00030303" w:rsidP="00030303">
      <w:pPr>
        <w:pStyle w:val="FootnoteText"/>
      </w:pPr>
      <w:r>
        <w:rPr>
          <w:rStyle w:val="FootnoteReference"/>
        </w:rPr>
        <w:footnoteRef/>
      </w:r>
      <w:r>
        <w:t xml:space="preserve"> </w:t>
      </w:r>
      <w:r w:rsidRPr="00310495">
        <w:t>NDIS Act,</w:t>
      </w:r>
      <w:r>
        <w:rPr>
          <w:i/>
        </w:rPr>
        <w:t xml:space="preserve"> </w:t>
      </w:r>
      <w:r>
        <w:t xml:space="preserve">s </w:t>
      </w:r>
      <w:r w:rsidRPr="00B85085">
        <w:t>73</w:t>
      </w:r>
      <w:r>
        <w:t>L.</w:t>
      </w:r>
    </w:p>
  </w:footnote>
  <w:footnote w:id="70">
    <w:p w14:paraId="48312A2F" w14:textId="77777777" w:rsidR="00030303" w:rsidRDefault="00030303" w:rsidP="00030303">
      <w:pPr>
        <w:pStyle w:val="FootnoteText"/>
      </w:pPr>
      <w:r>
        <w:rPr>
          <w:rStyle w:val="FootnoteReference"/>
        </w:rPr>
        <w:footnoteRef/>
      </w:r>
      <w:r>
        <w:t xml:space="preserve"> </w:t>
      </w:r>
      <w:r w:rsidRPr="00310495">
        <w:t>NDIS Act,</w:t>
      </w:r>
      <w:r>
        <w:rPr>
          <w:i/>
        </w:rPr>
        <w:t xml:space="preserve"> </w:t>
      </w:r>
      <w:r>
        <w:t xml:space="preserve">s </w:t>
      </w:r>
      <w:r w:rsidRPr="00B85085">
        <w:t>73</w:t>
      </w:r>
      <w:r>
        <w:t>N.</w:t>
      </w:r>
    </w:p>
  </w:footnote>
  <w:footnote w:id="71">
    <w:p w14:paraId="212C3514" w14:textId="77777777" w:rsidR="00030303" w:rsidRDefault="00030303" w:rsidP="00030303">
      <w:pPr>
        <w:pStyle w:val="FootnoteText"/>
      </w:pPr>
      <w:r>
        <w:rPr>
          <w:rStyle w:val="FootnoteReference"/>
        </w:rPr>
        <w:footnoteRef/>
      </w:r>
      <w:r>
        <w:t xml:space="preserve"> </w:t>
      </w:r>
      <w:r w:rsidRPr="00310495">
        <w:t>NDIS Act,</w:t>
      </w:r>
      <w:r>
        <w:rPr>
          <w:i/>
        </w:rPr>
        <w:t xml:space="preserve"> </w:t>
      </w:r>
      <w:r>
        <w:t xml:space="preserve">s </w:t>
      </w:r>
      <w:r w:rsidRPr="00B85085">
        <w:t>73</w:t>
      </w:r>
      <w:r>
        <w:t>P.</w:t>
      </w:r>
    </w:p>
  </w:footnote>
  <w:footnote w:id="72">
    <w:p w14:paraId="37FCF83D" w14:textId="77777777" w:rsidR="00030303" w:rsidRDefault="00030303" w:rsidP="00030303">
      <w:pPr>
        <w:pStyle w:val="FootnoteText"/>
      </w:pPr>
      <w:r>
        <w:rPr>
          <w:rStyle w:val="FootnoteReference"/>
        </w:rPr>
        <w:footnoteRef/>
      </w:r>
      <w:r>
        <w:t xml:space="preserve"> NDIS Act, 73ZM.</w:t>
      </w:r>
    </w:p>
  </w:footnote>
  <w:footnote w:id="73">
    <w:p w14:paraId="7ECC09EF" w14:textId="77777777" w:rsidR="00030303" w:rsidRDefault="00030303" w:rsidP="00030303">
      <w:pPr>
        <w:pStyle w:val="FootnoteText"/>
      </w:pPr>
      <w:r>
        <w:rPr>
          <w:rStyle w:val="FootnoteReference"/>
        </w:rPr>
        <w:footnoteRef/>
      </w:r>
      <w:r>
        <w:t xml:space="preserve"> NDIS Act, 73ZN.</w:t>
      </w:r>
    </w:p>
  </w:footnote>
  <w:footnote w:id="74">
    <w:p w14:paraId="74A6047E" w14:textId="77777777" w:rsidR="00030303" w:rsidRDefault="00030303" w:rsidP="00030303">
      <w:pPr>
        <w:pStyle w:val="FootnoteText"/>
      </w:pPr>
      <w:r>
        <w:rPr>
          <w:rStyle w:val="FootnoteReference"/>
        </w:rPr>
        <w:footnoteRef/>
      </w:r>
      <w:r>
        <w:t xml:space="preserve"> NDIS Act, 73ZP.</w:t>
      </w:r>
    </w:p>
  </w:footnote>
  <w:footnote w:id="75">
    <w:p w14:paraId="20073A8E" w14:textId="77777777" w:rsidR="00030303" w:rsidRDefault="00030303" w:rsidP="00030303">
      <w:pPr>
        <w:pStyle w:val="FootnoteText"/>
      </w:pPr>
      <w:r>
        <w:rPr>
          <w:rStyle w:val="FootnoteReference"/>
        </w:rPr>
        <w:footnoteRef/>
      </w:r>
      <w:r>
        <w:t xml:space="preserve"> NDIS Act, 73ZQ.</w:t>
      </w:r>
    </w:p>
  </w:footnote>
  <w:footnote w:id="76">
    <w:p w14:paraId="505E18E6" w14:textId="77777777" w:rsidR="00030303" w:rsidRDefault="00030303" w:rsidP="00030303">
      <w:pPr>
        <w:pStyle w:val="FootnoteText"/>
      </w:pPr>
      <w:r>
        <w:rPr>
          <w:rStyle w:val="FootnoteReference"/>
        </w:rPr>
        <w:footnoteRef/>
      </w:r>
      <w:r>
        <w:t xml:space="preserve"> NDIS Act</w:t>
      </w:r>
      <w:r>
        <w:rPr>
          <w:i/>
        </w:rPr>
        <w:t xml:space="preserve">, </w:t>
      </w:r>
      <w:r>
        <w:t xml:space="preserve">ss </w:t>
      </w:r>
      <w:r w:rsidRPr="00B85085">
        <w:t>73J</w:t>
      </w:r>
      <w:r>
        <w:t>, 73V and 73ZL.</w:t>
      </w:r>
    </w:p>
  </w:footnote>
  <w:footnote w:id="77">
    <w:p w14:paraId="44EE1C0D" w14:textId="77777777" w:rsidR="00030303" w:rsidRDefault="00030303" w:rsidP="00030303">
      <w:pPr>
        <w:pStyle w:val="FootnoteText"/>
        <w:rPr>
          <w:lang w:val="en-US"/>
        </w:rPr>
      </w:pPr>
      <w:r>
        <w:rPr>
          <w:rStyle w:val="FootnoteReference"/>
        </w:rPr>
        <w:footnoteRef/>
      </w:r>
      <w:r>
        <w:t xml:space="preserve"> </w:t>
      </w:r>
      <w:r w:rsidRPr="005B75B7">
        <w:rPr>
          <w:i/>
          <w:lang w:val="en-US"/>
        </w:rPr>
        <w:t xml:space="preserve">Disability Inclusion Act 2014 </w:t>
      </w:r>
      <w:r w:rsidRPr="005B75B7">
        <w:rPr>
          <w:lang w:val="en-US"/>
        </w:rPr>
        <w:t>(NSW)</w:t>
      </w:r>
      <w:r>
        <w:rPr>
          <w:lang w:val="en-US"/>
        </w:rPr>
        <w:t xml:space="preserve"> s 3. </w:t>
      </w:r>
    </w:p>
  </w:footnote>
  <w:footnote w:id="78">
    <w:p w14:paraId="7DB6F928" w14:textId="77777777" w:rsidR="00030303" w:rsidRDefault="00030303" w:rsidP="00030303">
      <w:pPr>
        <w:pStyle w:val="FootnoteText"/>
        <w:rPr>
          <w:lang w:val="en-US"/>
        </w:rPr>
      </w:pPr>
      <w:r>
        <w:rPr>
          <w:rStyle w:val="FootnoteReference"/>
        </w:rPr>
        <w:footnoteRef/>
      </w:r>
      <w:r>
        <w:t xml:space="preserve"> </w:t>
      </w:r>
      <w:r w:rsidRPr="00E24FC1">
        <w:rPr>
          <w:i/>
        </w:rPr>
        <w:t xml:space="preserve">Disability Services Act 2006 </w:t>
      </w:r>
      <w:r w:rsidRPr="00E24FC1">
        <w:t>(Qld)</w:t>
      </w:r>
      <w:r w:rsidRPr="00E24FC1">
        <w:rPr>
          <w:b/>
          <w:i/>
        </w:rPr>
        <w:t xml:space="preserve"> </w:t>
      </w:r>
      <w:r>
        <w:rPr>
          <w:lang w:val="en-US"/>
        </w:rPr>
        <w:t xml:space="preserve">s 6(1). </w:t>
      </w:r>
    </w:p>
  </w:footnote>
  <w:footnote w:id="79">
    <w:p w14:paraId="6F817CF2" w14:textId="77777777" w:rsidR="00030303" w:rsidRDefault="00030303" w:rsidP="00030303">
      <w:pPr>
        <w:pStyle w:val="FootnoteText"/>
        <w:rPr>
          <w:lang w:val="en-US"/>
        </w:rPr>
      </w:pPr>
      <w:r>
        <w:rPr>
          <w:rStyle w:val="FootnoteReference"/>
        </w:rPr>
        <w:footnoteRef/>
      </w:r>
      <w:r>
        <w:t xml:space="preserve"> </w:t>
      </w:r>
      <w:r w:rsidRPr="00E24FC1">
        <w:rPr>
          <w:i/>
        </w:rPr>
        <w:t xml:space="preserve">Disability Services Act 2006 </w:t>
      </w:r>
      <w:r w:rsidRPr="00E24FC1">
        <w:t>(Qld)</w:t>
      </w:r>
      <w:r>
        <w:t xml:space="preserve"> </w:t>
      </w:r>
      <w:r>
        <w:rPr>
          <w:lang w:val="en-US"/>
        </w:rPr>
        <w:t xml:space="preserve">ss 19-32.  </w:t>
      </w:r>
    </w:p>
  </w:footnote>
  <w:footnote w:id="80">
    <w:p w14:paraId="55A35536" w14:textId="77777777" w:rsidR="00030303" w:rsidRDefault="00030303" w:rsidP="00030303">
      <w:pPr>
        <w:pStyle w:val="FootnoteText"/>
        <w:rPr>
          <w:lang w:val="en-US"/>
        </w:rPr>
      </w:pPr>
      <w:r>
        <w:rPr>
          <w:rStyle w:val="FootnoteReference"/>
        </w:rPr>
        <w:footnoteRef/>
      </w:r>
      <w:r>
        <w:t xml:space="preserve"> </w:t>
      </w:r>
      <w:r w:rsidRPr="00E24FC1">
        <w:rPr>
          <w:i/>
        </w:rPr>
        <w:t xml:space="preserve">Disability Services Act 2006 </w:t>
      </w:r>
      <w:r w:rsidRPr="00E24FC1">
        <w:t>(Qld)</w:t>
      </w:r>
      <w:r>
        <w:rPr>
          <w:lang w:val="en-US"/>
        </w:rPr>
        <w:t xml:space="preserve"> ss 13, 15-16A. </w:t>
      </w:r>
    </w:p>
  </w:footnote>
  <w:footnote w:id="81">
    <w:p w14:paraId="7608D7D9" w14:textId="77777777" w:rsidR="00030303" w:rsidRDefault="00030303" w:rsidP="00030303">
      <w:pPr>
        <w:pStyle w:val="FootnoteText"/>
        <w:rPr>
          <w:lang w:val="en-US"/>
        </w:rPr>
      </w:pPr>
      <w:r>
        <w:rPr>
          <w:rStyle w:val="FootnoteReference"/>
        </w:rPr>
        <w:footnoteRef/>
      </w:r>
      <w:r>
        <w:t xml:space="preserve"> </w:t>
      </w:r>
      <w:r>
        <w:rPr>
          <w:i/>
        </w:rPr>
        <w:t xml:space="preserve">Disability Services Act 1993 </w:t>
      </w:r>
      <w:r>
        <w:t>(SA) ss 3A</w:t>
      </w:r>
      <w:r>
        <w:rPr>
          <w:lang w:val="en-US"/>
        </w:rPr>
        <w:t>–3</w:t>
      </w:r>
      <w:r>
        <w:t>B, 5, 5B</w:t>
      </w:r>
      <w:r>
        <w:rPr>
          <w:lang w:val="en-US"/>
        </w:rPr>
        <w:t>–</w:t>
      </w:r>
      <w:r>
        <w:t>C. It also prohibits a provider of disability services funded under the Act from victimising a person for disclosing information or making allegations that could give rise to legal proceedings against a provider, or indicate that it had breached a funding agreement (see s 5A).</w:t>
      </w:r>
    </w:p>
  </w:footnote>
  <w:footnote w:id="82">
    <w:p w14:paraId="4C4D9ADD" w14:textId="77777777" w:rsidR="00030303" w:rsidRDefault="00030303" w:rsidP="00030303">
      <w:pPr>
        <w:pStyle w:val="FootnoteText"/>
        <w:rPr>
          <w:lang w:val="en-US"/>
        </w:rPr>
      </w:pPr>
      <w:r>
        <w:rPr>
          <w:rStyle w:val="FootnoteReference"/>
        </w:rPr>
        <w:footnoteRef/>
      </w:r>
      <w:r>
        <w:t xml:space="preserve"> </w:t>
      </w:r>
      <w:r>
        <w:rPr>
          <w:i/>
        </w:rPr>
        <w:t xml:space="preserve">Disability Inclusion Act 2018 </w:t>
      </w:r>
      <w:r>
        <w:t xml:space="preserve">(SA) s 8. </w:t>
      </w:r>
    </w:p>
  </w:footnote>
  <w:footnote w:id="83">
    <w:p w14:paraId="583AF403" w14:textId="77777777" w:rsidR="00030303" w:rsidRDefault="00030303" w:rsidP="00030303">
      <w:pPr>
        <w:pStyle w:val="FootnoteText"/>
        <w:rPr>
          <w:lang w:val="en-US"/>
        </w:rPr>
      </w:pPr>
      <w:r>
        <w:rPr>
          <w:rStyle w:val="FootnoteReference"/>
        </w:rPr>
        <w:footnoteRef/>
      </w:r>
      <w:r>
        <w:t xml:space="preserve"> </w:t>
      </w:r>
      <w:r>
        <w:rPr>
          <w:i/>
        </w:rPr>
        <w:t xml:space="preserve">Disability Services Act 1991 </w:t>
      </w:r>
      <w:r>
        <w:t>(ACT) s 5</w:t>
      </w:r>
      <w:proofErr w:type="gramStart"/>
      <w:r>
        <w:t>A(</w:t>
      </w:r>
      <w:proofErr w:type="gramEnd"/>
      <w:r>
        <w:t>1).</w:t>
      </w:r>
    </w:p>
  </w:footnote>
  <w:footnote w:id="84">
    <w:p w14:paraId="68B00E39" w14:textId="77777777" w:rsidR="00030303" w:rsidRDefault="00030303" w:rsidP="00030303">
      <w:pPr>
        <w:pStyle w:val="FootnoteText"/>
        <w:rPr>
          <w:lang w:val="en-US"/>
        </w:rPr>
      </w:pPr>
      <w:r>
        <w:rPr>
          <w:rStyle w:val="FootnoteReference"/>
        </w:rPr>
        <w:footnoteRef/>
      </w:r>
      <w:r>
        <w:t xml:space="preserve"> </w:t>
      </w:r>
      <w:r>
        <w:rPr>
          <w:i/>
        </w:rPr>
        <w:t xml:space="preserve">Disability Services Act 1991 </w:t>
      </w:r>
      <w:r>
        <w:t xml:space="preserve">(ACT) s 5(1). </w:t>
      </w:r>
    </w:p>
  </w:footnote>
  <w:footnote w:id="85">
    <w:p w14:paraId="451E9991" w14:textId="77777777" w:rsidR="00030303" w:rsidRDefault="00030303" w:rsidP="00030303">
      <w:pPr>
        <w:pStyle w:val="FootnoteText"/>
        <w:rPr>
          <w:lang w:val="en-US"/>
        </w:rPr>
      </w:pPr>
      <w:r>
        <w:rPr>
          <w:rStyle w:val="FootnoteReference"/>
        </w:rPr>
        <w:footnoteRef/>
      </w:r>
      <w:r>
        <w:t xml:space="preserve"> </w:t>
      </w:r>
      <w:r>
        <w:rPr>
          <w:i/>
        </w:rPr>
        <w:t xml:space="preserve">Disability Services Act 1991 </w:t>
      </w:r>
      <w:r>
        <w:t xml:space="preserve">(ACT) s 4(1). </w:t>
      </w:r>
    </w:p>
  </w:footnote>
  <w:footnote w:id="86">
    <w:p w14:paraId="41F628FE" w14:textId="77777777" w:rsidR="00030303" w:rsidRDefault="00030303" w:rsidP="00030303">
      <w:pPr>
        <w:pStyle w:val="FootnoteText"/>
        <w:rPr>
          <w:lang w:val="en-US"/>
        </w:rPr>
      </w:pPr>
      <w:r>
        <w:rPr>
          <w:rStyle w:val="FootnoteReference"/>
        </w:rPr>
        <w:footnoteRef/>
      </w:r>
      <w:r>
        <w:t xml:space="preserve"> </w:t>
      </w:r>
      <w:r>
        <w:rPr>
          <w:i/>
        </w:rPr>
        <w:t xml:space="preserve">Disability Services (Standards) Declaration 2014 (No 1) </w:t>
      </w:r>
      <w:r>
        <w:t xml:space="preserve">ss 4-8. </w:t>
      </w:r>
    </w:p>
  </w:footnote>
  <w:footnote w:id="87">
    <w:p w14:paraId="1B8F5F88" w14:textId="77777777" w:rsidR="00030303" w:rsidRDefault="00030303" w:rsidP="00030303">
      <w:pPr>
        <w:pStyle w:val="FootnoteText"/>
        <w:rPr>
          <w:i/>
          <w:lang w:val="en-US"/>
        </w:rPr>
      </w:pPr>
      <w:r>
        <w:rPr>
          <w:rStyle w:val="FootnoteReference"/>
        </w:rPr>
        <w:footnoteRef/>
      </w:r>
      <w:r>
        <w:t xml:space="preserve"> </w:t>
      </w:r>
      <w:r>
        <w:rPr>
          <w:i/>
        </w:rPr>
        <w:t xml:space="preserve">Disability Services (Standards) Declaration 2014 (No 1) </w:t>
      </w:r>
      <w:r>
        <w:t xml:space="preserve">s 3(1). These standards are rendered enforceable through s 6 of the </w:t>
      </w:r>
      <w:r>
        <w:rPr>
          <w:i/>
        </w:rPr>
        <w:t xml:space="preserve">Disability Services Regulation 2014 </w:t>
      </w:r>
      <w:r>
        <w:t>(ACT)</w:t>
      </w:r>
      <w:r>
        <w:rPr>
          <w:i/>
        </w:rPr>
        <w:t xml:space="preserve">. </w:t>
      </w:r>
    </w:p>
  </w:footnote>
  <w:footnote w:id="88">
    <w:p w14:paraId="6650B447" w14:textId="77777777" w:rsidR="00030303" w:rsidRDefault="00030303" w:rsidP="00030303">
      <w:pPr>
        <w:pStyle w:val="FootnoteText"/>
        <w:rPr>
          <w:lang w:val="en-US"/>
        </w:rPr>
      </w:pPr>
      <w:r>
        <w:rPr>
          <w:rStyle w:val="FootnoteReference"/>
        </w:rPr>
        <w:footnoteRef/>
      </w:r>
      <w:r>
        <w:t xml:space="preserve"> </w:t>
      </w:r>
      <w:r>
        <w:rPr>
          <w:lang w:val="en-US"/>
        </w:rPr>
        <w:t xml:space="preserve">Explanatory Statement, </w:t>
      </w:r>
      <w:r>
        <w:rPr>
          <w:i/>
          <w:lang w:val="en-US"/>
        </w:rPr>
        <w:t>Disability Services Approved Standard 2014 (No 1)</w:t>
      </w:r>
      <w:r>
        <w:rPr>
          <w:lang w:val="en-US"/>
        </w:rPr>
        <w:t xml:space="preserve">, 1. </w:t>
      </w:r>
    </w:p>
  </w:footnote>
  <w:footnote w:id="89">
    <w:p w14:paraId="4120F9C2" w14:textId="77777777" w:rsidR="00030303" w:rsidRDefault="00030303" w:rsidP="00030303">
      <w:pPr>
        <w:pStyle w:val="FootnoteText"/>
        <w:rPr>
          <w:lang w:val="en-US"/>
        </w:rPr>
      </w:pPr>
      <w:r>
        <w:rPr>
          <w:rStyle w:val="FootnoteReference"/>
        </w:rPr>
        <w:footnoteRef/>
      </w:r>
      <w:r>
        <w:t xml:space="preserve"> </w:t>
      </w:r>
      <w:r w:rsidRPr="005B75B7">
        <w:rPr>
          <w:i/>
          <w:lang w:val="en-US"/>
        </w:rPr>
        <w:t xml:space="preserve">Disability Inclusion Act 2014 </w:t>
      </w:r>
      <w:r w:rsidRPr="005B75B7">
        <w:rPr>
          <w:lang w:val="en-US"/>
        </w:rPr>
        <w:t>(NSW)</w:t>
      </w:r>
      <w:r>
        <w:rPr>
          <w:lang w:val="en-US"/>
        </w:rPr>
        <w:t xml:space="preserve"> ss 20-21. </w:t>
      </w:r>
    </w:p>
  </w:footnote>
  <w:footnote w:id="90">
    <w:p w14:paraId="291A6BE2" w14:textId="77777777" w:rsidR="00030303" w:rsidRDefault="00030303" w:rsidP="00030303">
      <w:pPr>
        <w:pStyle w:val="FootnoteText"/>
        <w:rPr>
          <w:lang w:val="en-US"/>
        </w:rPr>
      </w:pPr>
      <w:r>
        <w:rPr>
          <w:rStyle w:val="FootnoteReference"/>
        </w:rPr>
        <w:footnoteRef/>
      </w:r>
      <w:r>
        <w:t xml:space="preserve"> </w:t>
      </w:r>
      <w:r w:rsidRPr="005B75B7">
        <w:rPr>
          <w:i/>
          <w:lang w:val="en-US"/>
        </w:rPr>
        <w:t xml:space="preserve">Disability Inclusion Act 2014 </w:t>
      </w:r>
      <w:r w:rsidRPr="005B75B7">
        <w:rPr>
          <w:lang w:val="en-US"/>
        </w:rPr>
        <w:t>(NSW)</w:t>
      </w:r>
      <w:r>
        <w:rPr>
          <w:lang w:val="en-US"/>
        </w:rPr>
        <w:t xml:space="preserve"> s 31(2); see also s 30(3).</w:t>
      </w:r>
    </w:p>
  </w:footnote>
  <w:footnote w:id="91">
    <w:p w14:paraId="75A97FDC" w14:textId="77777777" w:rsidR="00030303" w:rsidRDefault="00030303" w:rsidP="00030303">
      <w:pPr>
        <w:pStyle w:val="FootnoteText"/>
      </w:pPr>
      <w:r>
        <w:rPr>
          <w:rStyle w:val="FootnoteReference"/>
        </w:rPr>
        <w:footnoteRef/>
      </w:r>
      <w:r>
        <w:t xml:space="preserve"> </w:t>
      </w:r>
      <w:r w:rsidRPr="00060F57">
        <w:rPr>
          <w:i/>
        </w:rPr>
        <w:t>Disability Service Safeguards Act 2018</w:t>
      </w:r>
      <w:r w:rsidRPr="00060F57">
        <w:t xml:space="preserve"> </w:t>
      </w:r>
      <w:r>
        <w:t xml:space="preserve">(Vic) s118; </w:t>
      </w:r>
      <w:r w:rsidRPr="00060F57">
        <w:rPr>
          <w:i/>
        </w:rPr>
        <w:t>Disability Service Safeguards Regulations 2020</w:t>
      </w:r>
      <w:r>
        <w:t xml:space="preserve"> (Vic) s 5.</w:t>
      </w:r>
    </w:p>
  </w:footnote>
  <w:footnote w:id="92">
    <w:p w14:paraId="029B150F" w14:textId="77777777" w:rsidR="00030303" w:rsidRDefault="00030303" w:rsidP="00030303">
      <w:pPr>
        <w:pStyle w:val="FootnoteText"/>
      </w:pPr>
      <w:r>
        <w:rPr>
          <w:rStyle w:val="FootnoteReference"/>
        </w:rPr>
        <w:footnoteRef/>
      </w:r>
      <w:r>
        <w:t xml:space="preserve"> Victorian State Government, </w:t>
      </w:r>
      <w:r w:rsidRPr="006C0E45">
        <w:rPr>
          <w:i/>
        </w:rPr>
        <w:t>Policy, procedures and forms for the registration of Department of Health and Human Services funded disability service providers and community services</w:t>
      </w:r>
      <w:r>
        <w:t xml:space="preserve"> (September 2020), p 9. </w:t>
      </w:r>
    </w:p>
  </w:footnote>
  <w:footnote w:id="93">
    <w:p w14:paraId="128396ED" w14:textId="77777777" w:rsidR="00030303" w:rsidRDefault="00030303" w:rsidP="00030303">
      <w:pPr>
        <w:pStyle w:val="FootnoteText"/>
        <w:rPr>
          <w:lang w:val="en-US"/>
        </w:rPr>
      </w:pPr>
      <w:r>
        <w:rPr>
          <w:rStyle w:val="FootnoteReference"/>
        </w:rPr>
        <w:footnoteRef/>
      </w:r>
      <w:r>
        <w:t xml:space="preserve"> </w:t>
      </w:r>
      <w:r>
        <w:rPr>
          <w:lang w:val="en-US"/>
        </w:rPr>
        <w:t xml:space="preserve">Here meaning a person or </w:t>
      </w:r>
      <w:proofErr w:type="spellStart"/>
      <w:r>
        <w:rPr>
          <w:lang w:val="en-US"/>
        </w:rPr>
        <w:t>organisation</w:t>
      </w:r>
      <w:proofErr w:type="spellEnd"/>
      <w:r>
        <w:rPr>
          <w:lang w:val="en-US"/>
        </w:rPr>
        <w:t xml:space="preserve"> that provides services to people with disability (Dictionary, definition of ‘provider of services’).  </w:t>
      </w:r>
    </w:p>
  </w:footnote>
  <w:footnote w:id="94">
    <w:p w14:paraId="5D41B799" w14:textId="77777777" w:rsidR="00030303" w:rsidRDefault="00030303" w:rsidP="00030303">
      <w:pPr>
        <w:pStyle w:val="FootnoteText"/>
        <w:rPr>
          <w:lang w:val="en-US"/>
        </w:rPr>
      </w:pPr>
      <w:r>
        <w:rPr>
          <w:rStyle w:val="FootnoteReference"/>
        </w:rPr>
        <w:footnoteRef/>
      </w:r>
      <w:r>
        <w:t xml:space="preserve"> </w:t>
      </w:r>
      <w:r>
        <w:rPr>
          <w:i/>
        </w:rPr>
        <w:t xml:space="preserve">Disability Services Act 1991 </w:t>
      </w:r>
      <w:r>
        <w:t xml:space="preserve">(ACT) s 6(1). </w:t>
      </w:r>
    </w:p>
  </w:footnote>
  <w:footnote w:id="95">
    <w:p w14:paraId="3D2D4D96" w14:textId="77777777" w:rsidR="00030303" w:rsidRDefault="00030303" w:rsidP="00030303">
      <w:pPr>
        <w:pStyle w:val="FootnoteText"/>
        <w:rPr>
          <w:lang w:val="en-US"/>
        </w:rPr>
      </w:pPr>
      <w:r>
        <w:rPr>
          <w:rStyle w:val="FootnoteReference"/>
        </w:rPr>
        <w:footnoteRef/>
      </w:r>
      <w:r>
        <w:t xml:space="preserve"> </w:t>
      </w:r>
      <w:r>
        <w:rPr>
          <w:i/>
        </w:rPr>
        <w:t xml:space="preserve">Disability Services Act 1991 </w:t>
      </w:r>
      <w:r>
        <w:t xml:space="preserve">(ACT) s 6(2)(a).  </w:t>
      </w:r>
    </w:p>
  </w:footnote>
  <w:footnote w:id="96">
    <w:p w14:paraId="0E0647A4" w14:textId="77777777" w:rsidR="00030303" w:rsidRDefault="00030303" w:rsidP="00030303">
      <w:pPr>
        <w:pStyle w:val="FootnoteText"/>
        <w:rPr>
          <w:lang w:val="en-US"/>
        </w:rPr>
      </w:pPr>
      <w:r>
        <w:rPr>
          <w:rStyle w:val="FootnoteReference"/>
        </w:rPr>
        <w:footnoteRef/>
      </w:r>
      <w:r>
        <w:t xml:space="preserve"> </w:t>
      </w:r>
      <w:r>
        <w:rPr>
          <w:i/>
        </w:rPr>
        <w:t xml:space="preserve">Disability Services Act 1991 </w:t>
      </w:r>
      <w:r>
        <w:t xml:space="preserve">(ACT) s 6(2)(b). </w:t>
      </w:r>
    </w:p>
  </w:footnote>
  <w:footnote w:id="97">
    <w:p w14:paraId="21F71162" w14:textId="77777777" w:rsidR="00030303" w:rsidRDefault="00030303" w:rsidP="00030303">
      <w:pPr>
        <w:pStyle w:val="FootnoteText"/>
        <w:rPr>
          <w:lang w:val="en-US"/>
        </w:rPr>
      </w:pPr>
      <w:r>
        <w:rPr>
          <w:rStyle w:val="FootnoteReference"/>
        </w:rPr>
        <w:footnoteRef/>
      </w:r>
      <w:r>
        <w:t xml:space="preserve"> </w:t>
      </w:r>
      <w:r w:rsidRPr="005B75B7">
        <w:rPr>
          <w:i/>
          <w:lang w:val="en-US"/>
        </w:rPr>
        <w:t xml:space="preserve">Disability Inclusion Act 2014 </w:t>
      </w:r>
      <w:r w:rsidRPr="005B75B7">
        <w:rPr>
          <w:lang w:val="en-US"/>
        </w:rPr>
        <w:t>(NSW)</w:t>
      </w:r>
      <w:r>
        <w:rPr>
          <w:lang w:val="en-US"/>
        </w:rPr>
        <w:t xml:space="preserve"> s 23. </w:t>
      </w:r>
    </w:p>
  </w:footnote>
  <w:footnote w:id="98">
    <w:p w14:paraId="1E6295ED" w14:textId="77777777" w:rsidR="00030303" w:rsidRDefault="00030303" w:rsidP="00030303">
      <w:pPr>
        <w:pStyle w:val="FootnoteText"/>
        <w:rPr>
          <w:lang w:val="en-US"/>
        </w:rPr>
      </w:pPr>
      <w:r>
        <w:rPr>
          <w:rStyle w:val="FootnoteReference"/>
        </w:rPr>
        <w:footnoteRef/>
      </w:r>
      <w:r>
        <w:t xml:space="preserve"> </w:t>
      </w:r>
      <w:r w:rsidRPr="005B75B7">
        <w:rPr>
          <w:i/>
          <w:lang w:val="en-US"/>
        </w:rPr>
        <w:t xml:space="preserve">Disability Inclusion Act 2014 </w:t>
      </w:r>
      <w:r w:rsidRPr="005B75B7">
        <w:rPr>
          <w:lang w:val="en-US"/>
        </w:rPr>
        <w:t>(NSW)</w:t>
      </w:r>
      <w:r>
        <w:rPr>
          <w:lang w:val="en-US"/>
        </w:rPr>
        <w:t xml:space="preserve"> s 23(3).</w:t>
      </w:r>
    </w:p>
  </w:footnote>
  <w:footnote w:id="99">
    <w:p w14:paraId="471E56DA" w14:textId="77777777" w:rsidR="00030303" w:rsidRDefault="00030303" w:rsidP="00030303">
      <w:pPr>
        <w:pStyle w:val="FootnoteText"/>
        <w:rPr>
          <w:lang w:val="en-US"/>
        </w:rPr>
      </w:pPr>
      <w:r>
        <w:rPr>
          <w:rStyle w:val="FootnoteReference"/>
        </w:rPr>
        <w:footnoteRef/>
      </w:r>
      <w:r>
        <w:t xml:space="preserve"> </w:t>
      </w:r>
      <w:r>
        <w:rPr>
          <w:i/>
        </w:rPr>
        <w:t>Disability Services Act 1993</w:t>
      </w:r>
      <w:r>
        <w:t xml:space="preserve"> (NT) ss 3-4. The Minister must also not approve funding to a provider or researcher unless satisfied that their activities will further the principles and objectives set out in Schedules 2 and 3 (s 3(2)). </w:t>
      </w:r>
    </w:p>
  </w:footnote>
  <w:footnote w:id="100">
    <w:p w14:paraId="71F6B40C" w14:textId="77777777" w:rsidR="00030303" w:rsidRPr="0097368E" w:rsidRDefault="00030303" w:rsidP="00030303">
      <w:pPr>
        <w:pStyle w:val="FootnoteText"/>
        <w:rPr>
          <w:lang w:val="en-US"/>
        </w:rPr>
      </w:pPr>
      <w:r>
        <w:rPr>
          <w:rStyle w:val="FootnoteReference"/>
        </w:rPr>
        <w:footnoteRef/>
      </w:r>
      <w:r>
        <w:t xml:space="preserve"> </w:t>
      </w:r>
      <w:r w:rsidRPr="00E24FC1">
        <w:rPr>
          <w:i/>
        </w:rPr>
        <w:t xml:space="preserve">Disability Services Act 2006 </w:t>
      </w:r>
      <w:r w:rsidRPr="00E24FC1">
        <w:t>(Qld)</w:t>
      </w:r>
      <w:r>
        <w:t xml:space="preserve"> </w:t>
      </w:r>
      <w:r>
        <w:rPr>
          <w:lang w:val="en-US"/>
        </w:rPr>
        <w:t xml:space="preserve">s 36. </w:t>
      </w:r>
    </w:p>
  </w:footnote>
  <w:footnote w:id="101">
    <w:p w14:paraId="20661BCF" w14:textId="77777777" w:rsidR="00030303" w:rsidRPr="00232078" w:rsidRDefault="00030303" w:rsidP="00030303">
      <w:pPr>
        <w:pStyle w:val="FootnoteText"/>
        <w:rPr>
          <w:lang w:val="en-US"/>
        </w:rPr>
      </w:pPr>
      <w:r>
        <w:rPr>
          <w:rStyle w:val="FootnoteReference"/>
        </w:rPr>
        <w:footnoteRef/>
      </w:r>
      <w:r>
        <w:t xml:space="preserve"> </w:t>
      </w:r>
      <w:r w:rsidRPr="00232078">
        <w:rPr>
          <w:i/>
        </w:rPr>
        <w:t xml:space="preserve">Disability Services Act 1993 </w:t>
      </w:r>
      <w:r>
        <w:t>(SA) s 4.</w:t>
      </w:r>
    </w:p>
  </w:footnote>
  <w:footnote w:id="102">
    <w:p w14:paraId="084599F6" w14:textId="77777777" w:rsidR="00030303" w:rsidRDefault="00030303" w:rsidP="00030303">
      <w:pPr>
        <w:pStyle w:val="FootnoteText"/>
        <w:rPr>
          <w:lang w:val="en-US"/>
        </w:rPr>
      </w:pPr>
      <w:r>
        <w:rPr>
          <w:rStyle w:val="FootnoteReference"/>
        </w:rPr>
        <w:footnoteRef/>
      </w:r>
      <w:r>
        <w:t xml:space="preserve"> </w:t>
      </w:r>
      <w:r>
        <w:rPr>
          <w:i/>
        </w:rPr>
        <w:t>Disability Services Act 2011</w:t>
      </w:r>
      <w:r>
        <w:t xml:space="preserve"> (Tas) s 13. </w:t>
      </w:r>
    </w:p>
  </w:footnote>
  <w:footnote w:id="103">
    <w:p w14:paraId="713029F6" w14:textId="77777777" w:rsidR="00030303" w:rsidRDefault="00030303" w:rsidP="00030303">
      <w:pPr>
        <w:pStyle w:val="FootnoteText"/>
        <w:rPr>
          <w:lang w:val="en-US"/>
        </w:rPr>
      </w:pPr>
      <w:r>
        <w:rPr>
          <w:rStyle w:val="FootnoteReference"/>
        </w:rPr>
        <w:footnoteRef/>
      </w:r>
      <w:r>
        <w:t xml:space="preserve"> </w:t>
      </w:r>
      <w:r>
        <w:rPr>
          <w:i/>
        </w:rPr>
        <w:t>Disability Services Act 2011</w:t>
      </w:r>
      <w:r>
        <w:t xml:space="preserve"> (Tas) s 14(1).  </w:t>
      </w:r>
    </w:p>
  </w:footnote>
  <w:footnote w:id="104">
    <w:p w14:paraId="5FC6BA07" w14:textId="77777777" w:rsidR="00030303" w:rsidRDefault="00030303" w:rsidP="00030303">
      <w:pPr>
        <w:pStyle w:val="FootnoteText"/>
        <w:rPr>
          <w:lang w:val="en-US"/>
        </w:rPr>
      </w:pPr>
      <w:r>
        <w:rPr>
          <w:rStyle w:val="FootnoteReference"/>
        </w:rPr>
        <w:footnoteRef/>
      </w:r>
      <w:r>
        <w:t xml:space="preserve"> </w:t>
      </w:r>
      <w:r>
        <w:rPr>
          <w:i/>
        </w:rPr>
        <w:t>Disability Services Act 2011</w:t>
      </w:r>
      <w:r>
        <w:t xml:space="preserve"> (Tas) ss 15-18; see also </w:t>
      </w:r>
      <w:r>
        <w:rPr>
          <w:i/>
          <w:lang w:val="en-US"/>
        </w:rPr>
        <w:t xml:space="preserve">Disability Services Regulations 2015 </w:t>
      </w:r>
      <w:r>
        <w:rPr>
          <w:lang w:val="en-US"/>
        </w:rPr>
        <w:t xml:space="preserve">(Tas) ss 4-9. </w:t>
      </w:r>
    </w:p>
  </w:footnote>
  <w:footnote w:id="105">
    <w:p w14:paraId="65DB7B87" w14:textId="77777777" w:rsidR="00030303" w:rsidRDefault="00030303" w:rsidP="00030303">
      <w:pPr>
        <w:pStyle w:val="FootnoteText"/>
        <w:rPr>
          <w:lang w:val="en-US"/>
        </w:rPr>
      </w:pPr>
      <w:r>
        <w:rPr>
          <w:rStyle w:val="FootnoteReference"/>
        </w:rPr>
        <w:footnoteRef/>
      </w:r>
      <w:r>
        <w:t xml:space="preserve"> </w:t>
      </w:r>
      <w:r>
        <w:rPr>
          <w:i/>
        </w:rPr>
        <w:t xml:space="preserve">Disability Act 2006 </w:t>
      </w:r>
      <w:r>
        <w:t>(Vic) ss 40-48A. See also Divisions 2-3.</w:t>
      </w:r>
    </w:p>
  </w:footnote>
  <w:footnote w:id="106">
    <w:p w14:paraId="301ED3D8" w14:textId="77777777" w:rsidR="00030303" w:rsidRPr="009E0ED0" w:rsidRDefault="00030303" w:rsidP="00030303">
      <w:pPr>
        <w:pStyle w:val="FootnoteText"/>
        <w:rPr>
          <w:lang w:val="en-US"/>
        </w:rPr>
      </w:pPr>
      <w:r>
        <w:rPr>
          <w:rStyle w:val="FootnoteReference"/>
        </w:rPr>
        <w:footnoteRef/>
      </w:r>
      <w:r>
        <w:t xml:space="preserve"> </w:t>
      </w:r>
      <w:r w:rsidRPr="00FC7B4D">
        <w:rPr>
          <w:i/>
        </w:rPr>
        <w:t>Disability Services Act 1993</w:t>
      </w:r>
      <w:r>
        <w:t xml:space="preserve"> (WA) s 24(1).</w:t>
      </w:r>
    </w:p>
  </w:footnote>
  <w:footnote w:id="107">
    <w:p w14:paraId="29B1CB3B" w14:textId="77777777" w:rsidR="00030303" w:rsidRPr="00A009B8" w:rsidRDefault="00030303" w:rsidP="00030303">
      <w:pPr>
        <w:pStyle w:val="FootnoteText"/>
        <w:rPr>
          <w:lang w:val="en-US"/>
        </w:rPr>
      </w:pPr>
      <w:r>
        <w:rPr>
          <w:rStyle w:val="FootnoteReference"/>
        </w:rPr>
        <w:footnoteRef/>
      </w:r>
      <w:r>
        <w:t xml:space="preserve"> </w:t>
      </w:r>
      <w:r w:rsidRPr="00FC7B4D">
        <w:rPr>
          <w:i/>
        </w:rPr>
        <w:t>Disability Services Act 1993</w:t>
      </w:r>
      <w:r>
        <w:t xml:space="preserve"> (WA) s 3. </w:t>
      </w:r>
    </w:p>
  </w:footnote>
  <w:footnote w:id="108">
    <w:p w14:paraId="24CE4E08" w14:textId="77777777" w:rsidR="00030303" w:rsidRPr="00E23067" w:rsidRDefault="00030303" w:rsidP="00030303">
      <w:pPr>
        <w:pStyle w:val="FootnoteText"/>
        <w:rPr>
          <w:lang w:val="en-US"/>
        </w:rPr>
      </w:pPr>
      <w:r>
        <w:rPr>
          <w:rStyle w:val="FootnoteReference"/>
        </w:rPr>
        <w:footnoteRef/>
      </w:r>
      <w:r>
        <w:t xml:space="preserve"> </w:t>
      </w:r>
      <w:r w:rsidRPr="00FC7B4D">
        <w:rPr>
          <w:i/>
        </w:rPr>
        <w:t>Disability Services Act 1993</w:t>
      </w:r>
      <w:r>
        <w:t xml:space="preserve"> (WA) s 3. </w:t>
      </w:r>
    </w:p>
  </w:footnote>
  <w:footnote w:id="109">
    <w:p w14:paraId="19945A35" w14:textId="77777777" w:rsidR="00030303" w:rsidRPr="009C07FE" w:rsidRDefault="00030303" w:rsidP="00030303">
      <w:pPr>
        <w:pStyle w:val="FootnoteText"/>
        <w:rPr>
          <w:lang w:val="en-US"/>
        </w:rPr>
      </w:pPr>
      <w:r>
        <w:rPr>
          <w:rStyle w:val="FootnoteReference"/>
        </w:rPr>
        <w:footnoteRef/>
      </w:r>
      <w:r>
        <w:t xml:space="preserve"> </w:t>
      </w:r>
      <w:r w:rsidRPr="00354C6F">
        <w:rPr>
          <w:i/>
        </w:rPr>
        <w:t>Human Rights Commission Act 2005</w:t>
      </w:r>
      <w:r w:rsidRPr="00354C6F">
        <w:t xml:space="preserve"> (ACT)</w:t>
      </w:r>
      <w:r>
        <w:t xml:space="preserve"> s 40. Anti-victimisation protections apply to complainants under s 98.</w:t>
      </w:r>
    </w:p>
  </w:footnote>
  <w:footnote w:id="110">
    <w:p w14:paraId="6B5559CD" w14:textId="77777777" w:rsidR="00030303" w:rsidRPr="00330DCC" w:rsidRDefault="00030303" w:rsidP="00030303">
      <w:pPr>
        <w:pStyle w:val="FootnoteText"/>
        <w:rPr>
          <w:lang w:val="en-US"/>
        </w:rPr>
      </w:pPr>
      <w:r>
        <w:rPr>
          <w:rStyle w:val="FootnoteReference"/>
        </w:rPr>
        <w:footnoteRef/>
      </w:r>
      <w:r>
        <w:t xml:space="preserve"> </w:t>
      </w:r>
      <w:r w:rsidRPr="00354C6F">
        <w:rPr>
          <w:i/>
        </w:rPr>
        <w:t>Human Rights Commission Act 2005</w:t>
      </w:r>
      <w:r w:rsidRPr="00354C6F">
        <w:t xml:space="preserve"> (ACT)</w:t>
      </w:r>
      <w:r>
        <w:t xml:space="preserve"> ss 41B, 105B. Subject to some exceptions, the Commission must obtain the consent of a vulnerable person before taking certain action in relation to such a complaint (see s 52B). See also s 43 for a list of the parties with standing to make a complaint. A disability service complaint may be made by any person (s 43(1)(g)).  </w:t>
      </w:r>
    </w:p>
  </w:footnote>
  <w:footnote w:id="111">
    <w:p w14:paraId="4462F04E" w14:textId="77777777" w:rsidR="00030303" w:rsidRPr="007F1DD9" w:rsidRDefault="00030303" w:rsidP="00030303">
      <w:pPr>
        <w:pStyle w:val="FootnoteText"/>
        <w:rPr>
          <w:lang w:val="en-US"/>
        </w:rPr>
      </w:pPr>
      <w:r>
        <w:rPr>
          <w:rStyle w:val="FootnoteReference"/>
        </w:rPr>
        <w:footnoteRef/>
      </w:r>
      <w:r>
        <w:t xml:space="preserve"> </w:t>
      </w:r>
      <w:r w:rsidRPr="00354C6F">
        <w:rPr>
          <w:i/>
        </w:rPr>
        <w:t>Human Rights Commission Act 2005</w:t>
      </w:r>
      <w:r w:rsidRPr="00354C6F">
        <w:t xml:space="preserve"> (ACT)</w:t>
      </w:r>
      <w:r>
        <w:t xml:space="preserve"> s 45(1). </w:t>
      </w:r>
    </w:p>
  </w:footnote>
  <w:footnote w:id="112">
    <w:p w14:paraId="22A9AA4B" w14:textId="77777777" w:rsidR="00030303" w:rsidRPr="00487728" w:rsidRDefault="00030303" w:rsidP="00030303">
      <w:pPr>
        <w:pStyle w:val="FootnoteText"/>
        <w:rPr>
          <w:lang w:val="en-US"/>
        </w:rPr>
      </w:pPr>
      <w:r>
        <w:rPr>
          <w:rStyle w:val="FootnoteReference"/>
        </w:rPr>
        <w:footnoteRef/>
      </w:r>
      <w:r>
        <w:t xml:space="preserve"> </w:t>
      </w:r>
      <w:r w:rsidRPr="00354C6F">
        <w:rPr>
          <w:i/>
        </w:rPr>
        <w:t>Human Rights Commission Act 2005</w:t>
      </w:r>
      <w:r w:rsidRPr="00354C6F">
        <w:t xml:space="preserve"> (ACT)</w:t>
      </w:r>
      <w:r>
        <w:t xml:space="preserve"> ss 51, 52, 52A. Part 4.3 deals with the conciliation process. </w:t>
      </w:r>
    </w:p>
  </w:footnote>
  <w:footnote w:id="113">
    <w:p w14:paraId="61F6BD6F" w14:textId="77777777" w:rsidR="00030303" w:rsidRPr="00C3465F" w:rsidRDefault="00030303" w:rsidP="00030303">
      <w:pPr>
        <w:pStyle w:val="FootnoteText"/>
        <w:rPr>
          <w:lang w:val="en-US"/>
        </w:rPr>
      </w:pPr>
      <w:r>
        <w:rPr>
          <w:rStyle w:val="FootnoteReference"/>
        </w:rPr>
        <w:footnoteRef/>
      </w:r>
      <w:r>
        <w:t xml:space="preserve"> </w:t>
      </w:r>
      <w:r w:rsidRPr="00354C6F">
        <w:rPr>
          <w:i/>
        </w:rPr>
        <w:t>Human Rights Commission Act 2005</w:t>
      </w:r>
      <w:r w:rsidRPr="00354C6F">
        <w:t xml:space="preserve"> (ACT)</w:t>
      </w:r>
      <w:r>
        <w:t xml:space="preserve"> s 80(1).</w:t>
      </w:r>
    </w:p>
  </w:footnote>
  <w:footnote w:id="114">
    <w:p w14:paraId="51CE4262" w14:textId="77777777" w:rsidR="00030303" w:rsidRPr="00CD31D5" w:rsidRDefault="00030303" w:rsidP="00030303">
      <w:pPr>
        <w:pStyle w:val="FootnoteText"/>
        <w:rPr>
          <w:lang w:val="en-US"/>
        </w:rPr>
      </w:pPr>
      <w:r>
        <w:rPr>
          <w:rStyle w:val="FootnoteReference"/>
        </w:rPr>
        <w:footnoteRef/>
      </w:r>
      <w:r>
        <w:t xml:space="preserve"> </w:t>
      </w:r>
      <w:r w:rsidRPr="00354C6F">
        <w:rPr>
          <w:i/>
        </w:rPr>
        <w:t>Human Rights Commission Act 2005</w:t>
      </w:r>
      <w:r w:rsidRPr="00354C6F">
        <w:t xml:space="preserve"> (ACT)</w:t>
      </w:r>
      <w:r>
        <w:t xml:space="preserve"> s 81. For present purposes, the relevant standards for a disability complaint are the standards mentioned in s 40(b), and include the generally accepted standard of service delivery expected of a provider of the relevant kind.</w:t>
      </w:r>
    </w:p>
  </w:footnote>
  <w:footnote w:id="115">
    <w:p w14:paraId="70D59B7D" w14:textId="77777777" w:rsidR="00030303" w:rsidRDefault="00030303" w:rsidP="00030303">
      <w:pPr>
        <w:pStyle w:val="FootnoteText"/>
        <w:rPr>
          <w:lang w:val="en-US"/>
        </w:rPr>
      </w:pPr>
      <w:r>
        <w:rPr>
          <w:rStyle w:val="FootnoteReference"/>
        </w:rPr>
        <w:footnoteRef/>
      </w:r>
      <w:r>
        <w:t xml:space="preserve"> </w:t>
      </w:r>
      <w:r>
        <w:rPr>
          <w:i/>
        </w:rPr>
        <w:t xml:space="preserve">Disability Services Act 1993 </w:t>
      </w:r>
      <w:r>
        <w:t xml:space="preserve">(NT) ss 14, 72. </w:t>
      </w:r>
    </w:p>
  </w:footnote>
  <w:footnote w:id="116">
    <w:p w14:paraId="4DBB0E35" w14:textId="77777777" w:rsidR="00030303" w:rsidRDefault="00030303" w:rsidP="00030303">
      <w:pPr>
        <w:pStyle w:val="FootnoteText"/>
        <w:rPr>
          <w:lang w:val="en-US"/>
        </w:rPr>
      </w:pPr>
      <w:r>
        <w:rPr>
          <w:rStyle w:val="FootnoteReference"/>
        </w:rPr>
        <w:footnoteRef/>
      </w:r>
      <w:r>
        <w:t xml:space="preserve"> </w:t>
      </w:r>
      <w:r>
        <w:rPr>
          <w:i/>
        </w:rPr>
        <w:t xml:space="preserve">Disability Services Act 1993 </w:t>
      </w:r>
      <w:r>
        <w:t xml:space="preserve">(NT) s 2(1). </w:t>
      </w:r>
    </w:p>
  </w:footnote>
  <w:footnote w:id="117">
    <w:p w14:paraId="1C1CF494" w14:textId="77777777" w:rsidR="00030303" w:rsidRDefault="00030303" w:rsidP="00030303">
      <w:pPr>
        <w:pStyle w:val="FootnoteText"/>
        <w:rPr>
          <w:lang w:val="en-US"/>
        </w:rPr>
      </w:pPr>
      <w:r>
        <w:rPr>
          <w:rStyle w:val="FootnoteReference"/>
        </w:rPr>
        <w:footnoteRef/>
      </w:r>
      <w:r>
        <w:t xml:space="preserve"> </w:t>
      </w:r>
      <w:r>
        <w:rPr>
          <w:i/>
        </w:rPr>
        <w:t xml:space="preserve">Disability Services Act 1993 </w:t>
      </w:r>
      <w:r>
        <w:t xml:space="preserve">(NT) s 2(1). </w:t>
      </w:r>
    </w:p>
  </w:footnote>
  <w:footnote w:id="118">
    <w:p w14:paraId="1DDF85C5" w14:textId="77777777" w:rsidR="00030303" w:rsidRDefault="00030303" w:rsidP="00030303">
      <w:pPr>
        <w:pStyle w:val="FootnoteText"/>
        <w:rPr>
          <w:lang w:val="en-US"/>
        </w:rPr>
      </w:pPr>
      <w:r>
        <w:rPr>
          <w:rStyle w:val="FootnoteReference"/>
        </w:rPr>
        <w:footnoteRef/>
      </w:r>
      <w:r>
        <w:t xml:space="preserve"> </w:t>
      </w:r>
      <w:r>
        <w:rPr>
          <w:i/>
        </w:rPr>
        <w:t xml:space="preserve">Disability Services Act 1993 </w:t>
      </w:r>
      <w:r>
        <w:t xml:space="preserve">(NT) s 45. </w:t>
      </w:r>
    </w:p>
  </w:footnote>
  <w:footnote w:id="119">
    <w:p w14:paraId="231B8C4B" w14:textId="77777777" w:rsidR="00030303" w:rsidRDefault="00030303" w:rsidP="00030303">
      <w:pPr>
        <w:pStyle w:val="FootnoteText"/>
        <w:rPr>
          <w:lang w:val="en-US"/>
        </w:rPr>
      </w:pPr>
      <w:r>
        <w:rPr>
          <w:rStyle w:val="FootnoteReference"/>
        </w:rPr>
        <w:footnoteRef/>
      </w:r>
      <w:r>
        <w:t xml:space="preserve"> </w:t>
      </w:r>
      <w:r>
        <w:rPr>
          <w:i/>
        </w:rPr>
        <w:t xml:space="preserve">Disability Services Act 1993 </w:t>
      </w:r>
      <w:r>
        <w:t xml:space="preserve">(NT) s 46(1). </w:t>
      </w:r>
    </w:p>
  </w:footnote>
  <w:footnote w:id="120">
    <w:p w14:paraId="72E1D5C9" w14:textId="77777777" w:rsidR="00030303" w:rsidRDefault="00030303" w:rsidP="00030303">
      <w:pPr>
        <w:pStyle w:val="FootnoteText"/>
        <w:rPr>
          <w:lang w:val="en-US"/>
        </w:rPr>
      </w:pPr>
      <w:r>
        <w:rPr>
          <w:rStyle w:val="FootnoteReference"/>
        </w:rPr>
        <w:footnoteRef/>
      </w:r>
      <w:r>
        <w:t xml:space="preserve"> </w:t>
      </w:r>
      <w:r>
        <w:rPr>
          <w:i/>
        </w:rPr>
        <w:t xml:space="preserve">Disability Services Act 1993 </w:t>
      </w:r>
      <w:r>
        <w:t xml:space="preserve">(NT) s 48. </w:t>
      </w:r>
    </w:p>
  </w:footnote>
  <w:footnote w:id="121">
    <w:p w14:paraId="5CD3773B" w14:textId="77777777" w:rsidR="00030303" w:rsidRDefault="00030303" w:rsidP="00030303">
      <w:pPr>
        <w:pStyle w:val="FootnoteText"/>
        <w:rPr>
          <w:lang w:val="en-US"/>
        </w:rPr>
      </w:pPr>
      <w:r>
        <w:rPr>
          <w:rStyle w:val="FootnoteReference"/>
        </w:rPr>
        <w:footnoteRef/>
      </w:r>
      <w:r>
        <w:t xml:space="preserve"> </w:t>
      </w:r>
      <w:r>
        <w:rPr>
          <w:i/>
        </w:rPr>
        <w:t xml:space="preserve">Disability Services Act 1993 </w:t>
      </w:r>
      <w:r>
        <w:t xml:space="preserve">(NT) s 49. </w:t>
      </w:r>
    </w:p>
  </w:footnote>
  <w:footnote w:id="122">
    <w:p w14:paraId="3791EBF9" w14:textId="77777777" w:rsidR="00030303" w:rsidRDefault="00030303" w:rsidP="00030303">
      <w:pPr>
        <w:pStyle w:val="FootnoteText"/>
        <w:rPr>
          <w:lang w:val="en-US"/>
        </w:rPr>
      </w:pPr>
      <w:r>
        <w:rPr>
          <w:rStyle w:val="FootnoteReference"/>
        </w:rPr>
        <w:footnoteRef/>
      </w:r>
      <w:r>
        <w:t xml:space="preserve"> </w:t>
      </w:r>
      <w:r w:rsidRPr="00E24FC1">
        <w:rPr>
          <w:i/>
        </w:rPr>
        <w:t xml:space="preserve">Disability Services Act 2006 </w:t>
      </w:r>
      <w:r w:rsidRPr="00E24FC1">
        <w:t>(Qld)</w:t>
      </w:r>
      <w:r>
        <w:rPr>
          <w:lang w:val="en-US"/>
        </w:rPr>
        <w:t xml:space="preserve"> s 32A. It also applies to service providers prescribed by regulation. However, the </w:t>
      </w:r>
      <w:r>
        <w:rPr>
          <w:i/>
          <w:lang w:val="en-US"/>
        </w:rPr>
        <w:t xml:space="preserve">Disability Services Regulation 2017 </w:t>
      </w:r>
      <w:r>
        <w:rPr>
          <w:lang w:val="en-US"/>
        </w:rPr>
        <w:t>(Qld)</w:t>
      </w:r>
      <w:r>
        <w:rPr>
          <w:i/>
          <w:lang w:val="en-US"/>
        </w:rPr>
        <w:t xml:space="preserve"> </w:t>
      </w:r>
      <w:r>
        <w:rPr>
          <w:lang w:val="en-US"/>
        </w:rPr>
        <w:t xml:space="preserve">does not currently prescribe any providers for this purpose. </w:t>
      </w:r>
    </w:p>
  </w:footnote>
  <w:footnote w:id="123">
    <w:p w14:paraId="74168B9E" w14:textId="77777777" w:rsidR="00030303" w:rsidRDefault="00030303" w:rsidP="00030303">
      <w:pPr>
        <w:pStyle w:val="FootnoteText"/>
        <w:rPr>
          <w:lang w:val="en-US"/>
        </w:rPr>
      </w:pPr>
      <w:r>
        <w:rPr>
          <w:rStyle w:val="FootnoteReference"/>
        </w:rPr>
        <w:footnoteRef/>
      </w:r>
      <w:r>
        <w:t xml:space="preserve"> </w:t>
      </w:r>
      <w:r w:rsidRPr="00E24FC1">
        <w:rPr>
          <w:i/>
        </w:rPr>
        <w:t xml:space="preserve">Disability Services Act 2006 </w:t>
      </w:r>
      <w:r w:rsidRPr="00E24FC1">
        <w:t>(Qld)</w:t>
      </w:r>
      <w:r>
        <w:t xml:space="preserve"> </w:t>
      </w:r>
      <w:r>
        <w:rPr>
          <w:lang w:val="en-US"/>
        </w:rPr>
        <w:t xml:space="preserve">s 33. </w:t>
      </w:r>
    </w:p>
  </w:footnote>
  <w:footnote w:id="124">
    <w:p w14:paraId="1FF71646" w14:textId="77777777" w:rsidR="00030303" w:rsidRDefault="00030303" w:rsidP="00030303">
      <w:pPr>
        <w:pStyle w:val="FootnoteText"/>
        <w:rPr>
          <w:lang w:val="en-US"/>
        </w:rPr>
      </w:pPr>
      <w:r>
        <w:rPr>
          <w:rStyle w:val="FootnoteReference"/>
        </w:rPr>
        <w:footnoteRef/>
      </w:r>
      <w:r>
        <w:t xml:space="preserve"> </w:t>
      </w:r>
      <w:r w:rsidRPr="00E24FC1">
        <w:rPr>
          <w:i/>
        </w:rPr>
        <w:t xml:space="preserve">Disability Services Act 2006 </w:t>
      </w:r>
      <w:r w:rsidRPr="00E24FC1">
        <w:t>(Qld)</w:t>
      </w:r>
      <w:r>
        <w:rPr>
          <w:lang w:val="en-US"/>
        </w:rPr>
        <w:t xml:space="preserve"> s 34.</w:t>
      </w:r>
    </w:p>
  </w:footnote>
  <w:footnote w:id="125">
    <w:p w14:paraId="651E483B" w14:textId="77777777" w:rsidR="00030303" w:rsidRDefault="00030303" w:rsidP="00030303">
      <w:pPr>
        <w:pStyle w:val="FootnoteText"/>
        <w:rPr>
          <w:lang w:val="en-US"/>
        </w:rPr>
      </w:pPr>
      <w:r>
        <w:rPr>
          <w:rStyle w:val="FootnoteReference"/>
        </w:rPr>
        <w:footnoteRef/>
      </w:r>
      <w:r>
        <w:t xml:space="preserve"> </w:t>
      </w:r>
      <w:r>
        <w:rPr>
          <w:i/>
        </w:rPr>
        <w:t>Disability Services Act 1993</w:t>
      </w:r>
      <w:r>
        <w:t xml:space="preserve"> (WA) s 3 (definition of ‘Director’). </w:t>
      </w:r>
    </w:p>
  </w:footnote>
  <w:footnote w:id="126">
    <w:p w14:paraId="55C5E03D" w14:textId="77777777" w:rsidR="00030303" w:rsidRDefault="00030303" w:rsidP="00030303">
      <w:pPr>
        <w:pStyle w:val="FootnoteText"/>
        <w:rPr>
          <w:lang w:val="en-US"/>
        </w:rPr>
      </w:pPr>
      <w:r>
        <w:rPr>
          <w:rStyle w:val="FootnoteReference"/>
        </w:rPr>
        <w:footnoteRef/>
      </w:r>
      <w:r>
        <w:t xml:space="preserve"> </w:t>
      </w:r>
      <w:r>
        <w:rPr>
          <w:i/>
        </w:rPr>
        <w:t>Disability Services Act 1993</w:t>
      </w:r>
      <w:r>
        <w:t xml:space="preserve"> (WA) ss 32(1), (2A).</w:t>
      </w:r>
    </w:p>
  </w:footnote>
  <w:footnote w:id="127">
    <w:p w14:paraId="23387814" w14:textId="77777777" w:rsidR="00030303" w:rsidRDefault="00030303" w:rsidP="00030303">
      <w:pPr>
        <w:pStyle w:val="FootnoteText"/>
        <w:rPr>
          <w:lang w:val="en-US"/>
        </w:rPr>
      </w:pPr>
      <w:r>
        <w:rPr>
          <w:rStyle w:val="FootnoteReference"/>
        </w:rPr>
        <w:footnoteRef/>
      </w:r>
      <w:r>
        <w:t xml:space="preserve"> </w:t>
      </w:r>
      <w:r>
        <w:rPr>
          <w:i/>
        </w:rPr>
        <w:t>Disability Services Act 1993</w:t>
      </w:r>
      <w:r>
        <w:t xml:space="preserve"> (WA) s 33(1).</w:t>
      </w:r>
    </w:p>
  </w:footnote>
  <w:footnote w:id="128">
    <w:p w14:paraId="48634AAB" w14:textId="77777777" w:rsidR="00030303" w:rsidRDefault="00030303" w:rsidP="00030303">
      <w:pPr>
        <w:pStyle w:val="FootnoteText"/>
        <w:rPr>
          <w:lang w:val="en-US"/>
        </w:rPr>
      </w:pPr>
      <w:r>
        <w:rPr>
          <w:rStyle w:val="FootnoteReference"/>
        </w:rPr>
        <w:footnoteRef/>
      </w:r>
      <w:r>
        <w:t xml:space="preserve"> </w:t>
      </w:r>
      <w:r>
        <w:rPr>
          <w:i/>
        </w:rPr>
        <w:t>Disability Services Act 1993</w:t>
      </w:r>
      <w:r>
        <w:t xml:space="preserve"> (WA) s 30.</w:t>
      </w:r>
    </w:p>
  </w:footnote>
  <w:footnote w:id="129">
    <w:p w14:paraId="24344CD4" w14:textId="77777777" w:rsidR="00030303" w:rsidRDefault="00030303" w:rsidP="00030303">
      <w:pPr>
        <w:pStyle w:val="FootnoteText"/>
        <w:rPr>
          <w:lang w:val="en-US"/>
        </w:rPr>
      </w:pPr>
      <w:r>
        <w:rPr>
          <w:rStyle w:val="FootnoteReference"/>
        </w:rPr>
        <w:footnoteRef/>
      </w:r>
      <w:r>
        <w:t xml:space="preserve"> </w:t>
      </w:r>
      <w:r w:rsidRPr="00E24FC1">
        <w:rPr>
          <w:i/>
        </w:rPr>
        <w:t xml:space="preserve">Disability Services Act 2006 </w:t>
      </w:r>
      <w:r w:rsidRPr="00E24FC1">
        <w:t>(Qld)</w:t>
      </w:r>
      <w:r>
        <w:t xml:space="preserve"> </w:t>
      </w:r>
      <w:r>
        <w:rPr>
          <w:lang w:val="en-US"/>
        </w:rPr>
        <w:t xml:space="preserve">s 200E. The regulations may exclude provisions from the scope of this power, but do not currently do so.  </w:t>
      </w:r>
    </w:p>
  </w:footnote>
  <w:footnote w:id="130">
    <w:p w14:paraId="0574182B" w14:textId="77777777" w:rsidR="00030303" w:rsidRDefault="00030303" w:rsidP="00030303">
      <w:pPr>
        <w:pStyle w:val="FootnoteText"/>
        <w:rPr>
          <w:lang w:val="en-US"/>
        </w:rPr>
      </w:pPr>
      <w:r>
        <w:rPr>
          <w:rStyle w:val="FootnoteReference"/>
        </w:rPr>
        <w:footnoteRef/>
      </w:r>
      <w:r>
        <w:t xml:space="preserve"> </w:t>
      </w:r>
      <w:r>
        <w:rPr>
          <w:lang w:val="en-US"/>
        </w:rPr>
        <w:t xml:space="preserve">See, </w:t>
      </w:r>
      <w:proofErr w:type="spellStart"/>
      <w:r>
        <w:rPr>
          <w:lang w:val="en-US"/>
        </w:rPr>
        <w:t>eg</w:t>
      </w:r>
      <w:proofErr w:type="spellEnd"/>
      <w:r>
        <w:rPr>
          <w:lang w:val="en-US"/>
        </w:rPr>
        <w:t xml:space="preserve">, </w:t>
      </w:r>
      <w:r w:rsidRPr="00E24FC1">
        <w:rPr>
          <w:i/>
        </w:rPr>
        <w:t xml:space="preserve">Disability Services Act 2006 </w:t>
      </w:r>
      <w:r w:rsidRPr="00E24FC1">
        <w:t>(Qld)</w:t>
      </w:r>
      <w:r>
        <w:t xml:space="preserve"> </w:t>
      </w:r>
      <w:r>
        <w:rPr>
          <w:lang w:val="en-US"/>
        </w:rPr>
        <w:t xml:space="preserve">Part 6A, Division 3, Subdivisions 4-6. </w:t>
      </w:r>
    </w:p>
  </w:footnote>
  <w:footnote w:id="131">
    <w:p w14:paraId="51CFD11C" w14:textId="77777777" w:rsidR="00030303" w:rsidRDefault="00030303" w:rsidP="00030303">
      <w:pPr>
        <w:pStyle w:val="FootnoteText"/>
      </w:pPr>
      <w:r>
        <w:rPr>
          <w:rStyle w:val="FootnoteReference"/>
        </w:rPr>
        <w:footnoteRef/>
      </w:r>
      <w:r>
        <w:t xml:space="preserve"> </w:t>
      </w:r>
      <w:r>
        <w:rPr>
          <w:i/>
        </w:rPr>
        <w:t>Disability Services Act 2011</w:t>
      </w:r>
      <w:r>
        <w:t xml:space="preserve"> (Tas) s 24(3).</w:t>
      </w:r>
    </w:p>
  </w:footnote>
  <w:footnote w:id="132">
    <w:p w14:paraId="2C95EE73" w14:textId="77777777" w:rsidR="00030303" w:rsidRPr="00984D4F" w:rsidRDefault="00030303" w:rsidP="00030303">
      <w:pPr>
        <w:pStyle w:val="FootnoteText"/>
        <w:rPr>
          <w:lang w:val="en-US"/>
        </w:rPr>
      </w:pPr>
      <w:r>
        <w:rPr>
          <w:rStyle w:val="FootnoteReference"/>
        </w:rPr>
        <w:footnoteRef/>
      </w:r>
      <w:r>
        <w:t xml:space="preserve"> </w:t>
      </w:r>
      <w:r>
        <w:rPr>
          <w:i/>
        </w:rPr>
        <w:t xml:space="preserve">Disability Act 2006 </w:t>
      </w:r>
      <w:r>
        <w:t xml:space="preserve">(Vic) s 20. </w:t>
      </w:r>
    </w:p>
  </w:footnote>
  <w:footnote w:id="133">
    <w:p w14:paraId="0EE96C00" w14:textId="77777777" w:rsidR="00030303" w:rsidRPr="00254D6B" w:rsidRDefault="00030303" w:rsidP="00030303">
      <w:pPr>
        <w:pStyle w:val="FootnoteText"/>
        <w:rPr>
          <w:lang w:val="en-US"/>
        </w:rPr>
      </w:pPr>
      <w:r>
        <w:rPr>
          <w:rStyle w:val="FootnoteReference"/>
        </w:rPr>
        <w:footnoteRef/>
      </w:r>
      <w:r>
        <w:t xml:space="preserve"> </w:t>
      </w:r>
      <w:r>
        <w:rPr>
          <w:i/>
        </w:rPr>
        <w:t xml:space="preserve">Disability Act 2006 </w:t>
      </w:r>
      <w:r>
        <w:t xml:space="preserve">(Vic) s 22. </w:t>
      </w:r>
    </w:p>
  </w:footnote>
  <w:footnote w:id="134">
    <w:p w14:paraId="2BE0F4A6" w14:textId="77777777" w:rsidR="00030303" w:rsidRPr="00E54C11" w:rsidRDefault="00030303" w:rsidP="00030303">
      <w:pPr>
        <w:pStyle w:val="FootnoteText"/>
        <w:rPr>
          <w:lang w:val="en-US"/>
        </w:rPr>
      </w:pPr>
      <w:r>
        <w:rPr>
          <w:rStyle w:val="FootnoteReference"/>
        </w:rPr>
        <w:footnoteRef/>
      </w:r>
      <w:r>
        <w:t xml:space="preserve"> </w:t>
      </w:r>
      <w:r w:rsidRPr="00354C6F">
        <w:rPr>
          <w:i/>
        </w:rPr>
        <w:t>Human Rights Commission Act 2005</w:t>
      </w:r>
      <w:r w:rsidRPr="00354C6F">
        <w:t xml:space="preserve"> (ACT)</w:t>
      </w:r>
      <w:r>
        <w:t xml:space="preserve"> ss 6(2), 6A(b), 14, 16. </w:t>
      </w:r>
    </w:p>
  </w:footnote>
  <w:footnote w:id="135">
    <w:p w14:paraId="70164411" w14:textId="77777777" w:rsidR="00030303" w:rsidRPr="006061A4" w:rsidRDefault="00030303" w:rsidP="00030303">
      <w:pPr>
        <w:pStyle w:val="FootnoteText"/>
        <w:rPr>
          <w:lang w:val="en-US"/>
        </w:rPr>
      </w:pPr>
      <w:r>
        <w:rPr>
          <w:rStyle w:val="FootnoteReference"/>
        </w:rPr>
        <w:footnoteRef/>
      </w:r>
      <w:r>
        <w:t xml:space="preserve"> </w:t>
      </w:r>
      <w:r w:rsidRPr="00354C6F">
        <w:rPr>
          <w:i/>
        </w:rPr>
        <w:t>Human Rights Commission Act 2005</w:t>
      </w:r>
      <w:r w:rsidRPr="00354C6F">
        <w:t xml:space="preserve"> (ACT)</w:t>
      </w:r>
      <w:r>
        <w:t xml:space="preserve"> ss 12(1)(c). </w:t>
      </w:r>
    </w:p>
  </w:footnote>
  <w:footnote w:id="136">
    <w:p w14:paraId="213E301F" w14:textId="77777777" w:rsidR="00030303" w:rsidRPr="00380030" w:rsidRDefault="00030303" w:rsidP="00030303">
      <w:pPr>
        <w:pStyle w:val="FootnoteText"/>
        <w:rPr>
          <w:lang w:val="en-US"/>
        </w:rPr>
      </w:pPr>
      <w:r>
        <w:rPr>
          <w:rStyle w:val="FootnoteReference"/>
        </w:rPr>
        <w:footnoteRef/>
      </w:r>
      <w:r>
        <w:t xml:space="preserve"> </w:t>
      </w:r>
      <w:r w:rsidRPr="00354C6F">
        <w:rPr>
          <w:i/>
        </w:rPr>
        <w:t>Human Rights Commission Act 2005</w:t>
      </w:r>
      <w:r w:rsidRPr="00354C6F">
        <w:t xml:space="preserve"> (ACT)</w:t>
      </w:r>
      <w:r>
        <w:t xml:space="preserve"> s 21. </w:t>
      </w:r>
    </w:p>
  </w:footnote>
  <w:footnote w:id="137">
    <w:p w14:paraId="69C8D71F" w14:textId="77777777" w:rsidR="00030303" w:rsidRPr="00330DCC" w:rsidRDefault="00030303" w:rsidP="00030303">
      <w:pPr>
        <w:pStyle w:val="FootnoteText"/>
        <w:rPr>
          <w:lang w:val="en-US"/>
        </w:rPr>
      </w:pPr>
      <w:r>
        <w:rPr>
          <w:rStyle w:val="FootnoteReference"/>
        </w:rPr>
        <w:footnoteRef/>
      </w:r>
      <w:r>
        <w:t xml:space="preserve"> </w:t>
      </w:r>
      <w:r w:rsidRPr="00354C6F">
        <w:rPr>
          <w:i/>
        </w:rPr>
        <w:t>Human Rights Commission Act 2005</w:t>
      </w:r>
      <w:r w:rsidRPr="00354C6F">
        <w:t xml:space="preserve"> (ACT)</w:t>
      </w:r>
      <w:r>
        <w:t xml:space="preserve"> s 8(1). </w:t>
      </w:r>
    </w:p>
  </w:footnote>
  <w:footnote w:id="138">
    <w:p w14:paraId="58F1B380" w14:textId="77777777" w:rsidR="00030303" w:rsidRPr="00380030" w:rsidRDefault="00030303" w:rsidP="00030303">
      <w:pPr>
        <w:pStyle w:val="FootnoteText"/>
        <w:rPr>
          <w:lang w:val="en-US"/>
        </w:rPr>
      </w:pPr>
      <w:r>
        <w:rPr>
          <w:rStyle w:val="FootnoteReference"/>
        </w:rPr>
        <w:footnoteRef/>
      </w:r>
      <w:r>
        <w:t xml:space="preserve"> </w:t>
      </w:r>
      <w:r w:rsidRPr="00354C6F">
        <w:rPr>
          <w:i/>
        </w:rPr>
        <w:t>Human Rights Commission Act 2005</w:t>
      </w:r>
      <w:r w:rsidRPr="00354C6F">
        <w:t xml:space="preserve"> (ACT)</w:t>
      </w:r>
      <w:r>
        <w:t xml:space="preserve"> ss 21, 14(1). </w:t>
      </w:r>
    </w:p>
  </w:footnote>
  <w:footnote w:id="139">
    <w:p w14:paraId="4B801D46" w14:textId="77777777" w:rsidR="00030303" w:rsidRPr="00A354BB" w:rsidRDefault="00030303" w:rsidP="00030303">
      <w:pPr>
        <w:pStyle w:val="FootnoteText"/>
        <w:rPr>
          <w:lang w:val="en-US"/>
        </w:rPr>
      </w:pPr>
      <w:r>
        <w:rPr>
          <w:rStyle w:val="FootnoteReference"/>
        </w:rPr>
        <w:footnoteRef/>
      </w:r>
      <w:r>
        <w:t xml:space="preserve"> </w:t>
      </w:r>
      <w:r w:rsidRPr="00F12C61">
        <w:rPr>
          <w:i/>
        </w:rPr>
        <w:t>Ageing and Disability Commissioner Act 2019</w:t>
      </w:r>
      <w:r w:rsidRPr="00F12C61">
        <w:t xml:space="preserve"> (NSW)</w:t>
      </w:r>
      <w:r>
        <w:t xml:space="preserve"> s</w:t>
      </w:r>
      <w:r>
        <w:rPr>
          <w:lang w:val="en-US"/>
        </w:rPr>
        <w:t>s 5, 12(3).</w:t>
      </w:r>
    </w:p>
  </w:footnote>
  <w:footnote w:id="140">
    <w:p w14:paraId="0CEFF63A" w14:textId="77777777" w:rsidR="00030303" w:rsidRPr="00B756C9" w:rsidRDefault="00030303" w:rsidP="00030303">
      <w:pPr>
        <w:pStyle w:val="FootnoteText"/>
        <w:rPr>
          <w:lang w:val="en-US"/>
        </w:rPr>
      </w:pPr>
      <w:r>
        <w:rPr>
          <w:rStyle w:val="FootnoteReference"/>
        </w:rPr>
        <w:footnoteRef/>
      </w:r>
      <w:r>
        <w:t xml:space="preserve"> </w:t>
      </w:r>
      <w:r w:rsidRPr="00F12C61">
        <w:rPr>
          <w:i/>
        </w:rPr>
        <w:t>Ageing and Disability Commissioner Act 2019</w:t>
      </w:r>
      <w:r w:rsidRPr="00F12C61">
        <w:t xml:space="preserve"> (NSW)</w:t>
      </w:r>
      <w:r>
        <w:t xml:space="preserve"> s 12(1).</w:t>
      </w:r>
    </w:p>
  </w:footnote>
  <w:footnote w:id="141">
    <w:p w14:paraId="6CC5C2D8" w14:textId="77777777" w:rsidR="00030303" w:rsidRPr="006E1613" w:rsidRDefault="00030303" w:rsidP="00030303">
      <w:pPr>
        <w:pStyle w:val="FootnoteText"/>
        <w:rPr>
          <w:lang w:val="en-US"/>
        </w:rPr>
      </w:pPr>
      <w:r>
        <w:rPr>
          <w:rStyle w:val="FootnoteReference"/>
        </w:rPr>
        <w:footnoteRef/>
      </w:r>
      <w:r>
        <w:t xml:space="preserve"> </w:t>
      </w:r>
      <w:r w:rsidRPr="00F12C61">
        <w:rPr>
          <w:i/>
        </w:rPr>
        <w:t>Ageing and Disability Commissioner Act 2019</w:t>
      </w:r>
      <w:r w:rsidRPr="00F12C61">
        <w:t xml:space="preserve"> (NSW)</w:t>
      </w:r>
      <w:r>
        <w:t xml:space="preserve"> s 13(1).</w:t>
      </w:r>
    </w:p>
  </w:footnote>
  <w:footnote w:id="142">
    <w:p w14:paraId="79D0C603" w14:textId="77777777" w:rsidR="00030303" w:rsidRPr="00562287" w:rsidRDefault="00030303" w:rsidP="00030303">
      <w:pPr>
        <w:pStyle w:val="FootnoteText"/>
        <w:rPr>
          <w:lang w:val="en-US"/>
        </w:rPr>
      </w:pPr>
      <w:r>
        <w:rPr>
          <w:rStyle w:val="FootnoteReference"/>
        </w:rPr>
        <w:footnoteRef/>
      </w:r>
      <w:r>
        <w:t xml:space="preserve"> </w:t>
      </w:r>
      <w:r w:rsidRPr="00F12C61">
        <w:rPr>
          <w:i/>
        </w:rPr>
        <w:t>Ageing and Disability Commissioner Act 2019</w:t>
      </w:r>
      <w:r w:rsidRPr="00F12C61">
        <w:t xml:space="preserve"> (NSW)</w:t>
      </w:r>
      <w:r>
        <w:t xml:space="preserve"> s 13(5). </w:t>
      </w:r>
    </w:p>
  </w:footnote>
  <w:footnote w:id="143">
    <w:p w14:paraId="59495082" w14:textId="77777777" w:rsidR="00030303" w:rsidRPr="00297231" w:rsidRDefault="00030303" w:rsidP="00030303">
      <w:pPr>
        <w:pStyle w:val="FootnoteText"/>
        <w:rPr>
          <w:lang w:val="en-US"/>
        </w:rPr>
      </w:pPr>
      <w:r>
        <w:rPr>
          <w:rStyle w:val="FootnoteReference"/>
        </w:rPr>
        <w:footnoteRef/>
      </w:r>
      <w:r>
        <w:t xml:space="preserve"> </w:t>
      </w:r>
      <w:r w:rsidRPr="00F12C61">
        <w:rPr>
          <w:i/>
        </w:rPr>
        <w:t>Ageing and Disability Commissioner Act 2019</w:t>
      </w:r>
      <w:r w:rsidRPr="00F12C61">
        <w:t xml:space="preserve"> (NSW)</w:t>
      </w:r>
      <w:r>
        <w:t xml:space="preserve"> ss 16-19.</w:t>
      </w:r>
    </w:p>
  </w:footnote>
  <w:footnote w:id="144">
    <w:p w14:paraId="6CA268F6" w14:textId="77777777" w:rsidR="00030303" w:rsidRPr="006426BB" w:rsidRDefault="00030303" w:rsidP="00030303">
      <w:pPr>
        <w:pStyle w:val="FootnoteText"/>
        <w:rPr>
          <w:lang w:val="en-US"/>
        </w:rPr>
      </w:pPr>
      <w:r>
        <w:rPr>
          <w:rStyle w:val="FootnoteReference"/>
        </w:rPr>
        <w:footnoteRef/>
      </w:r>
      <w:r>
        <w:t xml:space="preserve"> </w:t>
      </w:r>
      <w:r w:rsidRPr="00F12C61">
        <w:rPr>
          <w:i/>
        </w:rPr>
        <w:t>Ageing and Disability Commissioner Act 2019</w:t>
      </w:r>
      <w:r w:rsidRPr="00F12C61">
        <w:t xml:space="preserve"> (NSW)</w:t>
      </w:r>
      <w:r>
        <w:t xml:space="preserve"> ss 25-28. </w:t>
      </w:r>
    </w:p>
  </w:footnote>
  <w:footnote w:id="145">
    <w:p w14:paraId="2DA18820" w14:textId="77777777" w:rsidR="00030303" w:rsidRPr="00FB58E9" w:rsidRDefault="00030303" w:rsidP="00030303">
      <w:pPr>
        <w:pStyle w:val="FootnoteText"/>
        <w:rPr>
          <w:lang w:val="en-US"/>
        </w:rPr>
      </w:pPr>
      <w:r>
        <w:rPr>
          <w:rStyle w:val="FootnoteReference"/>
        </w:rPr>
        <w:footnoteRef/>
      </w:r>
      <w:r>
        <w:t xml:space="preserve"> </w:t>
      </w:r>
      <w:r w:rsidRPr="000D6864">
        <w:rPr>
          <w:i/>
        </w:rPr>
        <w:t xml:space="preserve">Community Services (Complaints, Reviews and Monitoring) Act 1993 </w:t>
      </w:r>
      <w:r w:rsidRPr="000D6864">
        <w:t>(NSW)</w:t>
      </w:r>
      <w:r>
        <w:t xml:space="preserve"> s 11(1).</w:t>
      </w:r>
      <w:r>
        <w:rPr>
          <w:lang w:val="en-US"/>
        </w:rPr>
        <w:t xml:space="preserve"> See also</w:t>
      </w:r>
      <w:r w:rsidRPr="000D6864">
        <w:rPr>
          <w:lang w:val="en-US"/>
        </w:rPr>
        <w:t xml:space="preserve"> s 4(1), paragraph (e) of the definition of ‘community welfare legislation’.</w:t>
      </w:r>
    </w:p>
  </w:footnote>
  <w:footnote w:id="146">
    <w:p w14:paraId="28EFF6B0" w14:textId="77777777" w:rsidR="00030303" w:rsidRPr="000143A7" w:rsidRDefault="00030303" w:rsidP="00030303">
      <w:pPr>
        <w:pStyle w:val="FootnoteText"/>
        <w:rPr>
          <w:lang w:val="en-US"/>
        </w:rPr>
      </w:pPr>
      <w:r>
        <w:rPr>
          <w:rStyle w:val="FootnoteReference"/>
        </w:rPr>
        <w:footnoteRef/>
      </w:r>
      <w:r>
        <w:t xml:space="preserve"> </w:t>
      </w:r>
      <w:r w:rsidRPr="000D6864">
        <w:rPr>
          <w:i/>
        </w:rPr>
        <w:t xml:space="preserve">Community Services (Complaints, Reviews and Monitoring) Act 1993 </w:t>
      </w:r>
      <w:r w:rsidRPr="000D6864">
        <w:t>(NSW)</w:t>
      </w:r>
      <w:r>
        <w:t xml:space="preserve"> </w:t>
      </w:r>
      <w:r>
        <w:rPr>
          <w:lang w:val="en-US"/>
        </w:rPr>
        <w:t xml:space="preserve">s 13. </w:t>
      </w:r>
    </w:p>
  </w:footnote>
  <w:footnote w:id="147">
    <w:p w14:paraId="18D78738" w14:textId="77777777" w:rsidR="00030303" w:rsidRPr="000143A7" w:rsidRDefault="00030303" w:rsidP="00030303">
      <w:pPr>
        <w:pStyle w:val="FootnoteText"/>
        <w:rPr>
          <w:lang w:val="en-US"/>
        </w:rPr>
      </w:pPr>
      <w:r>
        <w:rPr>
          <w:rStyle w:val="FootnoteReference"/>
        </w:rPr>
        <w:footnoteRef/>
      </w:r>
      <w:r>
        <w:t xml:space="preserve"> </w:t>
      </w:r>
      <w:r w:rsidRPr="000D6864">
        <w:rPr>
          <w:i/>
        </w:rPr>
        <w:t xml:space="preserve">Community Services (Complaints, Reviews and Monitoring) Act 1993 </w:t>
      </w:r>
      <w:r w:rsidRPr="000D6864">
        <w:t>(NSW)</w:t>
      </w:r>
      <w:r>
        <w:rPr>
          <w:lang w:val="en-US"/>
        </w:rPr>
        <w:t xml:space="preserve">s 4(1), 13(6). </w:t>
      </w:r>
    </w:p>
  </w:footnote>
  <w:footnote w:id="148">
    <w:p w14:paraId="1F6B3B8C" w14:textId="77777777" w:rsidR="00030303" w:rsidRPr="00244128" w:rsidRDefault="00030303" w:rsidP="00030303">
      <w:pPr>
        <w:pStyle w:val="FootnoteText"/>
        <w:rPr>
          <w:lang w:val="en-US"/>
        </w:rPr>
      </w:pPr>
      <w:r>
        <w:rPr>
          <w:rStyle w:val="FootnoteReference"/>
        </w:rPr>
        <w:footnoteRef/>
      </w:r>
      <w:r>
        <w:t xml:space="preserve"> </w:t>
      </w:r>
      <w:r w:rsidRPr="000D6864">
        <w:rPr>
          <w:i/>
        </w:rPr>
        <w:t xml:space="preserve">Community Services (Complaints, Reviews and Monitoring) Act 1993 </w:t>
      </w:r>
      <w:r w:rsidRPr="000D6864">
        <w:t>(NSW)</w:t>
      </w:r>
      <w:r>
        <w:rPr>
          <w:lang w:val="en-US"/>
        </w:rPr>
        <w:t xml:space="preserve">Part 4. </w:t>
      </w:r>
    </w:p>
  </w:footnote>
  <w:footnote w:id="149">
    <w:p w14:paraId="6FD83948" w14:textId="77777777" w:rsidR="00030303" w:rsidRPr="00D201F0" w:rsidRDefault="00030303" w:rsidP="00030303">
      <w:pPr>
        <w:pStyle w:val="FootnoteText"/>
        <w:rPr>
          <w:lang w:val="en-US"/>
        </w:rPr>
      </w:pPr>
      <w:r>
        <w:rPr>
          <w:rStyle w:val="FootnoteReference"/>
        </w:rPr>
        <w:footnoteRef/>
      </w:r>
      <w:r>
        <w:t xml:space="preserve"> </w:t>
      </w:r>
      <w:r w:rsidRPr="00F739A7">
        <w:rPr>
          <w:bCs/>
          <w:i/>
          <w:iCs/>
        </w:rPr>
        <w:t xml:space="preserve">Health and Community Services Complaints Act 1998 </w:t>
      </w:r>
      <w:r w:rsidRPr="00F739A7">
        <w:rPr>
          <w:bCs/>
          <w:iCs/>
        </w:rPr>
        <w:t xml:space="preserve">(NT) </w:t>
      </w:r>
      <w:r w:rsidRPr="00F739A7">
        <w:rPr>
          <w:rStyle w:val="Emphasis"/>
        </w:rPr>
        <w:t>s 7.</w:t>
      </w:r>
      <w:r>
        <w:rPr>
          <w:rStyle w:val="Emphasis"/>
        </w:rPr>
        <w:t xml:space="preserve"> </w:t>
      </w:r>
    </w:p>
  </w:footnote>
  <w:footnote w:id="150">
    <w:p w14:paraId="551A6DAD" w14:textId="77777777" w:rsidR="00030303" w:rsidRPr="00CF1A0B" w:rsidRDefault="00030303" w:rsidP="00030303">
      <w:pPr>
        <w:pStyle w:val="FootnoteText"/>
        <w:rPr>
          <w:lang w:val="en-US"/>
        </w:rPr>
      </w:pPr>
      <w:r>
        <w:rPr>
          <w:rStyle w:val="FootnoteReference"/>
        </w:rPr>
        <w:footnoteRef/>
      </w:r>
      <w:r>
        <w:t xml:space="preserve"> </w:t>
      </w:r>
      <w:r w:rsidRPr="003427A1">
        <w:rPr>
          <w:bCs/>
          <w:i/>
          <w:iCs/>
        </w:rPr>
        <w:t xml:space="preserve">Health and Community Services Complaints Act 1998 </w:t>
      </w:r>
      <w:r w:rsidRPr="003427A1">
        <w:rPr>
          <w:bCs/>
          <w:iCs/>
        </w:rPr>
        <w:t xml:space="preserve">(NT) </w:t>
      </w:r>
      <w:r w:rsidRPr="003427A1">
        <w:rPr>
          <w:rStyle w:val="Emphasis"/>
        </w:rPr>
        <w:t>s 12(1).</w:t>
      </w:r>
      <w:r>
        <w:rPr>
          <w:rStyle w:val="Emphasis"/>
        </w:rPr>
        <w:t xml:space="preserve"> </w:t>
      </w:r>
    </w:p>
  </w:footnote>
  <w:footnote w:id="151">
    <w:p w14:paraId="71EE5CB0" w14:textId="77777777" w:rsidR="00030303" w:rsidRPr="001E31DB" w:rsidRDefault="00030303" w:rsidP="00030303">
      <w:pPr>
        <w:pStyle w:val="FootnoteText"/>
        <w:rPr>
          <w:lang w:val="en-US"/>
        </w:rPr>
      </w:pPr>
      <w:r>
        <w:rPr>
          <w:rStyle w:val="FootnoteReference"/>
        </w:rPr>
        <w:footnoteRef/>
      </w:r>
      <w:r w:rsidRPr="003427A1">
        <w:rPr>
          <w:bCs/>
          <w:i/>
          <w:iCs/>
        </w:rPr>
        <w:t xml:space="preserve">Health and Community Services Complaints Act 1998 </w:t>
      </w:r>
      <w:r w:rsidRPr="003427A1">
        <w:rPr>
          <w:bCs/>
          <w:iCs/>
        </w:rPr>
        <w:t>(NT)</w:t>
      </w:r>
      <w:r w:rsidRPr="003427A1">
        <w:rPr>
          <w:rStyle w:val="Emphasis"/>
        </w:rPr>
        <w:t xml:space="preserve"> s 22.</w:t>
      </w:r>
    </w:p>
  </w:footnote>
  <w:footnote w:id="152">
    <w:p w14:paraId="6066B9C8" w14:textId="77777777" w:rsidR="00030303" w:rsidRPr="00C94101" w:rsidRDefault="00030303" w:rsidP="00030303">
      <w:pPr>
        <w:pStyle w:val="FootnoteText"/>
        <w:rPr>
          <w:lang w:val="en-US"/>
        </w:rPr>
      </w:pPr>
      <w:r>
        <w:rPr>
          <w:rStyle w:val="FootnoteReference"/>
        </w:rPr>
        <w:footnoteRef/>
      </w:r>
      <w:r>
        <w:t xml:space="preserve"> </w:t>
      </w:r>
      <w:r>
        <w:rPr>
          <w:lang w:val="en-US"/>
        </w:rPr>
        <w:t xml:space="preserve">Health and Community Services Complaints Commission (NT), </w:t>
      </w:r>
      <w:r>
        <w:rPr>
          <w:i/>
          <w:lang w:val="en-US"/>
        </w:rPr>
        <w:t xml:space="preserve">Annual Report 2018/19 </w:t>
      </w:r>
      <w:r>
        <w:rPr>
          <w:lang w:val="en-US"/>
        </w:rPr>
        <w:t xml:space="preserve">(9 January 2020) 37. </w:t>
      </w:r>
    </w:p>
  </w:footnote>
  <w:footnote w:id="153">
    <w:p w14:paraId="5FF21295" w14:textId="77777777" w:rsidR="00030303" w:rsidRPr="00EB21DF" w:rsidRDefault="00030303" w:rsidP="00030303">
      <w:pPr>
        <w:pStyle w:val="FootnoteText"/>
        <w:rPr>
          <w:i/>
          <w:lang w:val="en-US"/>
        </w:rPr>
      </w:pPr>
      <w:r>
        <w:rPr>
          <w:rStyle w:val="FootnoteReference"/>
        </w:rPr>
        <w:footnoteRef/>
      </w:r>
      <w:r w:rsidRPr="00EB21DF">
        <w:rPr>
          <w:bCs/>
          <w:i/>
          <w:iCs/>
        </w:rPr>
        <w:t xml:space="preserve">Health and Community Services Complaints Act 1998 </w:t>
      </w:r>
      <w:r w:rsidRPr="00EB21DF">
        <w:rPr>
          <w:bCs/>
          <w:iCs/>
        </w:rPr>
        <w:t>(NT)</w:t>
      </w:r>
      <w:r>
        <w:rPr>
          <w:rStyle w:val="Emphasis"/>
        </w:rPr>
        <w:t xml:space="preserve"> </w:t>
      </w:r>
      <w:r w:rsidRPr="00EB21DF">
        <w:rPr>
          <w:rStyle w:val="Emphasis"/>
        </w:rPr>
        <w:t xml:space="preserve">s 23(1). A reference to acting unreasonably in the provision of a service includes, </w:t>
      </w:r>
      <w:proofErr w:type="spellStart"/>
      <w:r w:rsidRPr="00EB21DF">
        <w:rPr>
          <w:rStyle w:val="Emphasis"/>
        </w:rPr>
        <w:t>eg</w:t>
      </w:r>
      <w:proofErr w:type="spellEnd"/>
      <w:r w:rsidRPr="00EB21DF">
        <w:rPr>
          <w:rStyle w:val="Emphasis"/>
        </w:rPr>
        <w:t xml:space="preserve">, failing to exercise due care and skill, respect a service user’s privacy or dignity, or provide the user with adequate information on certain matters (see s 23(2)).  </w:t>
      </w:r>
    </w:p>
  </w:footnote>
  <w:footnote w:id="154">
    <w:p w14:paraId="64BFD1AB" w14:textId="77777777" w:rsidR="00030303" w:rsidRDefault="00030303" w:rsidP="00030303">
      <w:pPr>
        <w:pStyle w:val="FootnoteText"/>
      </w:pPr>
      <w:r>
        <w:rPr>
          <w:rStyle w:val="FootnoteReference"/>
        </w:rPr>
        <w:footnoteRef/>
      </w:r>
      <w:r>
        <w:t xml:space="preserve"> S</w:t>
      </w:r>
      <w:r w:rsidRPr="002B7EF1">
        <w:t>ee Part 7</w:t>
      </w:r>
      <w:r>
        <w:t xml:space="preserve"> of the </w:t>
      </w:r>
      <w:r w:rsidRPr="002B7EF1">
        <w:rPr>
          <w:bCs/>
          <w:i/>
        </w:rPr>
        <w:t xml:space="preserve">Health and Community Services Complaints Act 1998 </w:t>
      </w:r>
      <w:r w:rsidRPr="002B7EF1">
        <w:rPr>
          <w:bCs/>
        </w:rPr>
        <w:t>(NT)</w:t>
      </w:r>
      <w:r w:rsidRPr="002B7EF1">
        <w:t>, which confers certain powers to obtain information, examine witnesses and search premises under warrant</w:t>
      </w:r>
      <w:r>
        <w:t>.</w:t>
      </w:r>
    </w:p>
  </w:footnote>
  <w:footnote w:id="155">
    <w:p w14:paraId="2DDB6A69" w14:textId="77777777" w:rsidR="00030303" w:rsidRPr="00A710E3" w:rsidRDefault="00030303" w:rsidP="00030303">
      <w:pPr>
        <w:pStyle w:val="FootnoteText"/>
        <w:rPr>
          <w:lang w:val="en-US"/>
        </w:rPr>
      </w:pPr>
      <w:r>
        <w:rPr>
          <w:rStyle w:val="FootnoteReference"/>
        </w:rPr>
        <w:footnoteRef/>
      </w:r>
      <w:r>
        <w:t xml:space="preserve"> </w:t>
      </w:r>
      <w:r w:rsidRPr="003427A1">
        <w:rPr>
          <w:bCs/>
          <w:i/>
          <w:iCs/>
        </w:rPr>
        <w:t xml:space="preserve">Health and Community Services Complaints Act 1998 </w:t>
      </w:r>
      <w:r w:rsidRPr="003427A1">
        <w:rPr>
          <w:bCs/>
          <w:iCs/>
        </w:rPr>
        <w:t>(NT)</w:t>
      </w:r>
      <w:r>
        <w:rPr>
          <w:bCs/>
          <w:i/>
          <w:iCs/>
        </w:rPr>
        <w:t xml:space="preserve"> </w:t>
      </w:r>
      <w:r w:rsidRPr="003427A1">
        <w:rPr>
          <w:rStyle w:val="Emphasis"/>
        </w:rPr>
        <w:t>ss 27, 30</w:t>
      </w:r>
      <w:r>
        <w:rPr>
          <w:rStyle w:val="Emphasis"/>
        </w:rPr>
        <w:t xml:space="preserve">. </w:t>
      </w:r>
    </w:p>
  </w:footnote>
  <w:footnote w:id="156">
    <w:p w14:paraId="558DF717" w14:textId="77777777" w:rsidR="00030303" w:rsidRPr="00F34072" w:rsidRDefault="00030303" w:rsidP="00030303">
      <w:pPr>
        <w:pStyle w:val="FootnoteText"/>
        <w:rPr>
          <w:lang w:val="en-US"/>
        </w:rPr>
      </w:pPr>
      <w:r>
        <w:rPr>
          <w:rStyle w:val="FootnoteReference"/>
        </w:rPr>
        <w:footnoteRef/>
      </w:r>
      <w:r w:rsidRPr="00F34072">
        <w:rPr>
          <w:i/>
        </w:rPr>
        <w:t xml:space="preserve"> Ageing and Adult Safeguarding Act 1995</w:t>
      </w:r>
      <w:r>
        <w:t xml:space="preserve"> (SA) s 3.</w:t>
      </w:r>
    </w:p>
  </w:footnote>
  <w:footnote w:id="157">
    <w:p w14:paraId="424D08FE" w14:textId="77777777" w:rsidR="00030303" w:rsidRPr="00213405" w:rsidRDefault="00030303" w:rsidP="00030303">
      <w:pPr>
        <w:pStyle w:val="FootnoteText"/>
        <w:rPr>
          <w:lang w:val="en-US"/>
        </w:rPr>
      </w:pPr>
      <w:r>
        <w:rPr>
          <w:rStyle w:val="FootnoteReference"/>
        </w:rPr>
        <w:footnoteRef/>
      </w:r>
      <w:r>
        <w:t xml:space="preserve"> </w:t>
      </w:r>
      <w:r w:rsidRPr="00F34072">
        <w:rPr>
          <w:i/>
        </w:rPr>
        <w:t>Ageing and Adult Safeguarding Act 1995</w:t>
      </w:r>
      <w:r>
        <w:t xml:space="preserve"> (SA) s 4. </w:t>
      </w:r>
    </w:p>
  </w:footnote>
  <w:footnote w:id="158">
    <w:p w14:paraId="205ED7BC" w14:textId="77777777" w:rsidR="00030303" w:rsidRPr="00F52F1C" w:rsidRDefault="00030303" w:rsidP="00030303">
      <w:pPr>
        <w:pStyle w:val="FootnoteText"/>
        <w:rPr>
          <w:lang w:val="en-US"/>
        </w:rPr>
      </w:pPr>
      <w:r>
        <w:rPr>
          <w:rStyle w:val="FootnoteReference"/>
        </w:rPr>
        <w:footnoteRef/>
      </w:r>
      <w:r>
        <w:t xml:space="preserve"> </w:t>
      </w:r>
      <w:r w:rsidRPr="00F34072">
        <w:rPr>
          <w:i/>
        </w:rPr>
        <w:t>Ageing and Adult Safeguarding Act 1995</w:t>
      </w:r>
      <w:r>
        <w:t xml:space="preserve"> (SA) s 22(1).</w:t>
      </w:r>
    </w:p>
  </w:footnote>
  <w:footnote w:id="159">
    <w:p w14:paraId="71870A81" w14:textId="77777777" w:rsidR="00030303" w:rsidRPr="000F1491" w:rsidRDefault="00030303" w:rsidP="00030303">
      <w:pPr>
        <w:pStyle w:val="FootnoteText"/>
      </w:pPr>
      <w:r>
        <w:rPr>
          <w:rStyle w:val="FootnoteReference"/>
        </w:rPr>
        <w:footnoteRef/>
      </w:r>
      <w:r>
        <w:t xml:space="preserve"> </w:t>
      </w:r>
      <w:r w:rsidRPr="00F34072">
        <w:rPr>
          <w:i/>
        </w:rPr>
        <w:t>Ageing and Adult Safeguarding Act 1995</w:t>
      </w:r>
      <w:r>
        <w:t xml:space="preserve"> (SA) s 23, ss 25-26. See also ss 27-30. In some cases, however, the consent of the relevant vulnerable adult must be obtained first (s 24). </w:t>
      </w:r>
    </w:p>
  </w:footnote>
  <w:footnote w:id="160">
    <w:p w14:paraId="64AAF471" w14:textId="77777777" w:rsidR="00030303" w:rsidRPr="00B43069" w:rsidRDefault="00030303" w:rsidP="00030303">
      <w:pPr>
        <w:pStyle w:val="FootnoteText"/>
        <w:rPr>
          <w:lang w:val="en-US"/>
        </w:rPr>
      </w:pPr>
      <w:r>
        <w:rPr>
          <w:rStyle w:val="FootnoteReference"/>
        </w:rPr>
        <w:footnoteRef/>
      </w:r>
      <w:r>
        <w:t xml:space="preserve"> </w:t>
      </w:r>
      <w:r w:rsidRPr="00F34072">
        <w:rPr>
          <w:i/>
        </w:rPr>
        <w:t>Ageing and Adult Safeguarding Act 1995</w:t>
      </w:r>
      <w:r>
        <w:t xml:space="preserve"> (SA) s 19.</w:t>
      </w:r>
    </w:p>
  </w:footnote>
  <w:footnote w:id="161">
    <w:p w14:paraId="0D707D61" w14:textId="77777777" w:rsidR="00030303" w:rsidRDefault="00030303" w:rsidP="00030303">
      <w:pPr>
        <w:pStyle w:val="FootnoteText"/>
      </w:pPr>
      <w:r>
        <w:rPr>
          <w:rStyle w:val="FootnoteReference"/>
        </w:rPr>
        <w:footnoteRef/>
      </w:r>
      <w:r>
        <w:t xml:space="preserve"> </w:t>
      </w:r>
      <w:r w:rsidRPr="002B7EF1">
        <w:rPr>
          <w:i/>
        </w:rPr>
        <w:t>Ageing and Adult Safeguarding Act 1995</w:t>
      </w:r>
      <w:r>
        <w:t xml:space="preserve"> (SA) ss 25-31.</w:t>
      </w:r>
    </w:p>
  </w:footnote>
  <w:footnote w:id="162">
    <w:p w14:paraId="2F869C0D" w14:textId="77777777" w:rsidR="00030303" w:rsidRPr="00344048" w:rsidRDefault="00030303" w:rsidP="00030303">
      <w:pPr>
        <w:pStyle w:val="FootnoteText"/>
        <w:rPr>
          <w:lang w:val="en-US"/>
        </w:rPr>
      </w:pPr>
      <w:r>
        <w:rPr>
          <w:rStyle w:val="FootnoteReference"/>
        </w:rPr>
        <w:footnoteRef/>
      </w:r>
      <w:r>
        <w:t xml:space="preserve"> </w:t>
      </w:r>
      <w:r w:rsidRPr="00254F70">
        <w:rPr>
          <w:i/>
        </w:rPr>
        <w:t>Disability Service Safeguards Act 2018</w:t>
      </w:r>
      <w:r>
        <w:t xml:space="preserve"> (Vic) s 33. The Commission or Board must give a person reasonable assistance to make a complaint upon request, and anti-victimisation protections apply (ss 35-36). </w:t>
      </w:r>
    </w:p>
  </w:footnote>
  <w:footnote w:id="163">
    <w:p w14:paraId="5A1D5FD6" w14:textId="77777777" w:rsidR="00030303" w:rsidRPr="00650A2C" w:rsidRDefault="00030303" w:rsidP="00030303">
      <w:pPr>
        <w:pStyle w:val="FootnoteText"/>
        <w:rPr>
          <w:lang w:val="en-US"/>
        </w:rPr>
      </w:pPr>
      <w:r>
        <w:rPr>
          <w:rStyle w:val="FootnoteReference"/>
        </w:rPr>
        <w:footnoteRef/>
      </w:r>
      <w:r>
        <w:t xml:space="preserve"> </w:t>
      </w:r>
      <w:r w:rsidRPr="00254F70">
        <w:rPr>
          <w:i/>
        </w:rPr>
        <w:t>Disability Service Safeguards Act 2018</w:t>
      </w:r>
      <w:r>
        <w:t xml:space="preserve"> (Vic) ss 39(2)-(4).</w:t>
      </w:r>
    </w:p>
  </w:footnote>
  <w:footnote w:id="164">
    <w:p w14:paraId="33F268AA" w14:textId="77777777" w:rsidR="00030303" w:rsidRPr="001B5D3E" w:rsidRDefault="00030303" w:rsidP="00030303">
      <w:pPr>
        <w:pStyle w:val="FootnoteText"/>
        <w:rPr>
          <w:lang w:val="en-US"/>
        </w:rPr>
      </w:pPr>
      <w:r>
        <w:rPr>
          <w:rStyle w:val="FootnoteReference"/>
        </w:rPr>
        <w:footnoteRef/>
      </w:r>
      <w:r>
        <w:t xml:space="preserve"> </w:t>
      </w:r>
      <w:r w:rsidRPr="00254F70">
        <w:rPr>
          <w:i/>
        </w:rPr>
        <w:t>Disability Service Safeguards Act 2018</w:t>
      </w:r>
      <w:r>
        <w:t xml:space="preserve"> (Vic) s 41(1).</w:t>
      </w:r>
    </w:p>
  </w:footnote>
  <w:footnote w:id="165">
    <w:p w14:paraId="75A60604" w14:textId="77777777" w:rsidR="00030303" w:rsidRPr="00FF7F37" w:rsidRDefault="00030303" w:rsidP="00030303">
      <w:pPr>
        <w:pStyle w:val="FootnoteText"/>
        <w:rPr>
          <w:lang w:val="en-US"/>
        </w:rPr>
      </w:pPr>
      <w:r>
        <w:rPr>
          <w:rStyle w:val="FootnoteReference"/>
        </w:rPr>
        <w:footnoteRef/>
      </w:r>
      <w:r>
        <w:t xml:space="preserve"> </w:t>
      </w:r>
      <w:r w:rsidRPr="00254F70">
        <w:rPr>
          <w:i/>
        </w:rPr>
        <w:t>Disability Service Safeguards Act 2018</w:t>
      </w:r>
      <w:r>
        <w:t xml:space="preserve"> (Vic) s 41(2).</w:t>
      </w:r>
    </w:p>
  </w:footnote>
  <w:footnote w:id="166">
    <w:p w14:paraId="7D41B37F" w14:textId="77777777" w:rsidR="00030303" w:rsidRPr="001F354D" w:rsidRDefault="00030303" w:rsidP="00030303">
      <w:pPr>
        <w:pStyle w:val="FootnoteText"/>
        <w:rPr>
          <w:lang w:val="en-US"/>
        </w:rPr>
      </w:pPr>
      <w:r>
        <w:rPr>
          <w:rStyle w:val="FootnoteReference"/>
        </w:rPr>
        <w:footnoteRef/>
      </w:r>
      <w:r>
        <w:t xml:space="preserve"> </w:t>
      </w:r>
      <w:r w:rsidRPr="00254F70">
        <w:rPr>
          <w:i/>
        </w:rPr>
        <w:t>Disability Service Safeguards Act 2018</w:t>
      </w:r>
      <w:r>
        <w:t xml:space="preserve"> (Vic) s 47(1).</w:t>
      </w:r>
    </w:p>
  </w:footnote>
  <w:footnote w:id="167">
    <w:p w14:paraId="5C900CA4" w14:textId="77777777" w:rsidR="00030303" w:rsidRPr="001B5D3E" w:rsidRDefault="00030303" w:rsidP="00030303">
      <w:pPr>
        <w:pStyle w:val="FootnoteText"/>
        <w:rPr>
          <w:lang w:val="en-US"/>
        </w:rPr>
      </w:pPr>
      <w:r>
        <w:rPr>
          <w:rStyle w:val="FootnoteReference"/>
        </w:rPr>
        <w:footnoteRef/>
      </w:r>
      <w:r>
        <w:t xml:space="preserve"> </w:t>
      </w:r>
      <w:r w:rsidRPr="00254F70">
        <w:rPr>
          <w:i/>
        </w:rPr>
        <w:t>Disability Service Safeguards Act 2018</w:t>
      </w:r>
      <w:r>
        <w:t xml:space="preserve"> (Vic) ss 46, 52. </w:t>
      </w:r>
    </w:p>
  </w:footnote>
  <w:footnote w:id="168">
    <w:p w14:paraId="1D41D303" w14:textId="77777777" w:rsidR="00030303" w:rsidRPr="00125DC5" w:rsidRDefault="00030303" w:rsidP="00030303">
      <w:pPr>
        <w:pStyle w:val="FootnoteText"/>
        <w:rPr>
          <w:lang w:val="en-US"/>
        </w:rPr>
      </w:pPr>
      <w:r>
        <w:rPr>
          <w:rStyle w:val="FootnoteReference"/>
        </w:rPr>
        <w:footnoteRef/>
      </w:r>
      <w:r>
        <w:t xml:space="preserve"> </w:t>
      </w:r>
      <w:r w:rsidRPr="00354C6F">
        <w:rPr>
          <w:rStyle w:val="ng-scope"/>
          <w:i/>
        </w:rPr>
        <w:t>Human Rights Commission Act 2005</w:t>
      </w:r>
      <w:r w:rsidRPr="00354C6F">
        <w:rPr>
          <w:rStyle w:val="ng-scope"/>
        </w:rPr>
        <w:t xml:space="preserve"> (ACT)</w:t>
      </w:r>
      <w:r>
        <w:rPr>
          <w:rStyle w:val="ng-scope"/>
        </w:rPr>
        <w:t xml:space="preserve"> s 12(1)(g). </w:t>
      </w:r>
    </w:p>
  </w:footnote>
  <w:footnote w:id="169">
    <w:p w14:paraId="0148CEFE" w14:textId="77777777" w:rsidR="00030303" w:rsidRPr="00507218" w:rsidRDefault="00030303" w:rsidP="00030303">
      <w:pPr>
        <w:pStyle w:val="FootnoteText"/>
        <w:rPr>
          <w:lang w:val="en-US"/>
        </w:rPr>
      </w:pPr>
      <w:r>
        <w:rPr>
          <w:rStyle w:val="FootnoteReference"/>
        </w:rPr>
        <w:footnoteRef/>
      </w:r>
      <w:r>
        <w:t xml:space="preserve"> </w:t>
      </w:r>
      <w:r w:rsidRPr="00354C6F">
        <w:rPr>
          <w:rStyle w:val="ng-scope"/>
          <w:i/>
        </w:rPr>
        <w:t>Human Rights Commission Act 2005</w:t>
      </w:r>
      <w:r w:rsidRPr="00354C6F">
        <w:rPr>
          <w:rStyle w:val="ng-scope"/>
        </w:rPr>
        <w:t xml:space="preserve"> (ACT)</w:t>
      </w:r>
      <w:r>
        <w:rPr>
          <w:rStyle w:val="ng-scope"/>
        </w:rPr>
        <w:t xml:space="preserve"> s 27B.</w:t>
      </w:r>
    </w:p>
  </w:footnote>
  <w:footnote w:id="170">
    <w:p w14:paraId="6139A2E4" w14:textId="77777777" w:rsidR="00030303" w:rsidRPr="007431C2" w:rsidRDefault="00030303" w:rsidP="00030303">
      <w:pPr>
        <w:pStyle w:val="FootnoteText"/>
        <w:rPr>
          <w:lang w:val="en-US"/>
        </w:rPr>
      </w:pPr>
      <w:r>
        <w:rPr>
          <w:rStyle w:val="FootnoteReference"/>
        </w:rPr>
        <w:footnoteRef/>
      </w:r>
      <w:r>
        <w:t xml:space="preserve"> </w:t>
      </w:r>
      <w:r>
        <w:rPr>
          <w:lang w:val="en-US"/>
        </w:rPr>
        <w:t xml:space="preserve">See </w:t>
      </w:r>
      <w:r>
        <w:rPr>
          <w:i/>
        </w:rPr>
        <w:t xml:space="preserve">Guardianship Act 1987 </w:t>
      </w:r>
      <w:r>
        <w:t xml:space="preserve">(NSW) Part 7. </w:t>
      </w:r>
    </w:p>
  </w:footnote>
  <w:footnote w:id="171">
    <w:p w14:paraId="7B2ADCA4" w14:textId="77777777" w:rsidR="00030303" w:rsidRPr="007431C2" w:rsidRDefault="00030303" w:rsidP="00030303">
      <w:pPr>
        <w:pStyle w:val="FootnoteText"/>
        <w:rPr>
          <w:lang w:val="en-US"/>
        </w:rPr>
      </w:pPr>
      <w:r>
        <w:rPr>
          <w:rStyle w:val="FootnoteReference"/>
        </w:rPr>
        <w:footnoteRef/>
      </w:r>
      <w:r>
        <w:t xml:space="preserve"> </w:t>
      </w:r>
      <w:r>
        <w:rPr>
          <w:lang w:val="en-US"/>
        </w:rPr>
        <w:t xml:space="preserve">See </w:t>
      </w:r>
      <w:r>
        <w:rPr>
          <w:i/>
        </w:rPr>
        <w:t xml:space="preserve">Guardianship of Adults Act 2016 </w:t>
      </w:r>
      <w:r>
        <w:t xml:space="preserve">(NT) Part 4. </w:t>
      </w:r>
    </w:p>
  </w:footnote>
  <w:footnote w:id="172">
    <w:p w14:paraId="365F86C0" w14:textId="77777777" w:rsidR="00030303" w:rsidRPr="007A54DD" w:rsidRDefault="00030303" w:rsidP="00030303">
      <w:pPr>
        <w:pStyle w:val="FootnoteText"/>
        <w:rPr>
          <w:lang w:val="en-US"/>
        </w:rPr>
      </w:pPr>
      <w:r>
        <w:rPr>
          <w:rStyle w:val="FootnoteReference"/>
        </w:rPr>
        <w:footnoteRef/>
      </w:r>
      <w:r>
        <w:t xml:space="preserve"> </w:t>
      </w:r>
      <w:r>
        <w:rPr>
          <w:i/>
        </w:rPr>
        <w:t xml:space="preserve">Guardianship of Adults Act 2016 </w:t>
      </w:r>
      <w:r>
        <w:t>(NT) s 61(1)(</w:t>
      </w:r>
      <w:proofErr w:type="gramStart"/>
      <w:r>
        <w:t>g)-(</w:t>
      </w:r>
      <w:proofErr w:type="spellStart"/>
      <w:proofErr w:type="gramEnd"/>
      <w:r>
        <w:t>i</w:t>
      </w:r>
      <w:proofErr w:type="spellEnd"/>
      <w:r>
        <w:t>), (2).</w:t>
      </w:r>
    </w:p>
  </w:footnote>
  <w:footnote w:id="173">
    <w:p w14:paraId="09C1414E" w14:textId="77777777" w:rsidR="00030303" w:rsidRPr="006F3574" w:rsidRDefault="00030303" w:rsidP="00030303">
      <w:pPr>
        <w:pStyle w:val="FootnoteText"/>
        <w:rPr>
          <w:lang w:val="en-US"/>
        </w:rPr>
      </w:pPr>
      <w:r>
        <w:rPr>
          <w:rStyle w:val="FootnoteReference"/>
        </w:rPr>
        <w:footnoteRef/>
      </w:r>
      <w:r>
        <w:t xml:space="preserve"> </w:t>
      </w:r>
      <w:r w:rsidRPr="006F3574">
        <w:rPr>
          <w:i/>
        </w:rPr>
        <w:t>Guardianship and Administration Act 2000</w:t>
      </w:r>
      <w:r w:rsidRPr="006F3574">
        <w:t xml:space="preserve"> (Qld)</w:t>
      </w:r>
      <w:r>
        <w:t xml:space="preserve"> ss 209, 211.</w:t>
      </w:r>
    </w:p>
  </w:footnote>
  <w:footnote w:id="174">
    <w:p w14:paraId="55F300BC" w14:textId="77777777" w:rsidR="00030303" w:rsidRPr="00694EF5" w:rsidRDefault="00030303" w:rsidP="00030303">
      <w:pPr>
        <w:pStyle w:val="FootnoteText"/>
        <w:rPr>
          <w:lang w:val="en-US"/>
        </w:rPr>
      </w:pPr>
      <w:r>
        <w:rPr>
          <w:rStyle w:val="FootnoteReference"/>
        </w:rPr>
        <w:footnoteRef/>
      </w:r>
      <w:r>
        <w:t xml:space="preserve"> </w:t>
      </w:r>
      <w:r>
        <w:rPr>
          <w:i/>
        </w:rPr>
        <w:t xml:space="preserve">Public Guardian Act 2014 </w:t>
      </w:r>
      <w:r>
        <w:t xml:space="preserve">(Qld) s 12(1). </w:t>
      </w:r>
    </w:p>
  </w:footnote>
  <w:footnote w:id="175">
    <w:p w14:paraId="66701D5D" w14:textId="77777777" w:rsidR="00030303" w:rsidRPr="00824DC7" w:rsidRDefault="00030303" w:rsidP="00030303">
      <w:pPr>
        <w:pStyle w:val="FootnoteText"/>
        <w:rPr>
          <w:lang w:val="en-US"/>
        </w:rPr>
      </w:pPr>
      <w:r>
        <w:rPr>
          <w:rStyle w:val="FootnoteReference"/>
        </w:rPr>
        <w:footnoteRef/>
      </w:r>
      <w:r>
        <w:t xml:space="preserve"> </w:t>
      </w:r>
      <w:r>
        <w:rPr>
          <w:i/>
        </w:rPr>
        <w:t xml:space="preserve">Public Guardian Act 2014 </w:t>
      </w:r>
      <w:r>
        <w:t xml:space="preserve">(Qld) s 19. </w:t>
      </w:r>
    </w:p>
  </w:footnote>
  <w:footnote w:id="176">
    <w:p w14:paraId="7623564B" w14:textId="77777777" w:rsidR="00030303" w:rsidRPr="008645F7" w:rsidRDefault="00030303" w:rsidP="00030303">
      <w:pPr>
        <w:pStyle w:val="FootnoteText"/>
        <w:rPr>
          <w:lang w:val="en-US"/>
        </w:rPr>
      </w:pPr>
      <w:r>
        <w:rPr>
          <w:rStyle w:val="FootnoteReference"/>
        </w:rPr>
        <w:footnoteRef/>
      </w:r>
      <w:r>
        <w:t xml:space="preserve"> </w:t>
      </w:r>
      <w:r>
        <w:rPr>
          <w:i/>
        </w:rPr>
        <w:t xml:space="preserve">Public Guardian Act 2014 </w:t>
      </w:r>
      <w:r>
        <w:t xml:space="preserve">(Qld) ss 33, 36.  </w:t>
      </w:r>
    </w:p>
  </w:footnote>
  <w:footnote w:id="177">
    <w:p w14:paraId="44B26F76" w14:textId="77777777" w:rsidR="00030303" w:rsidRPr="006B446E" w:rsidRDefault="00030303" w:rsidP="00030303">
      <w:pPr>
        <w:pStyle w:val="FootnoteText"/>
        <w:rPr>
          <w:lang w:val="en-US"/>
        </w:rPr>
      </w:pPr>
      <w:r>
        <w:rPr>
          <w:rStyle w:val="FootnoteReference"/>
        </w:rPr>
        <w:footnoteRef/>
      </w:r>
      <w:r>
        <w:t xml:space="preserve"> </w:t>
      </w:r>
      <w:r>
        <w:rPr>
          <w:i/>
          <w:lang w:val="en"/>
        </w:rPr>
        <w:t xml:space="preserve">Guardianship and Administration Act 1993 </w:t>
      </w:r>
      <w:r>
        <w:rPr>
          <w:lang w:val="en"/>
        </w:rPr>
        <w:t xml:space="preserve">(SA) s 18. </w:t>
      </w:r>
    </w:p>
  </w:footnote>
  <w:footnote w:id="178">
    <w:p w14:paraId="0C6AD138" w14:textId="77777777" w:rsidR="00030303" w:rsidRPr="004B4AF7" w:rsidRDefault="00030303" w:rsidP="00030303">
      <w:pPr>
        <w:pStyle w:val="FootnoteText"/>
        <w:rPr>
          <w:lang w:val="en-US"/>
        </w:rPr>
      </w:pPr>
      <w:r>
        <w:rPr>
          <w:rStyle w:val="FootnoteReference"/>
        </w:rPr>
        <w:footnoteRef/>
      </w:r>
      <w:r>
        <w:t xml:space="preserve"> </w:t>
      </w:r>
      <w:r>
        <w:rPr>
          <w:lang w:val="en-US"/>
        </w:rPr>
        <w:t xml:space="preserve">‘Mental incapacity’ is defined in s 3(1) of the </w:t>
      </w:r>
      <w:r w:rsidRPr="00EB21DF">
        <w:rPr>
          <w:i/>
          <w:lang w:val="en"/>
        </w:rPr>
        <w:t xml:space="preserve">Guardianship and Administration Act 1993 </w:t>
      </w:r>
      <w:r w:rsidRPr="00EB21DF">
        <w:rPr>
          <w:lang w:val="en"/>
        </w:rPr>
        <w:t>(SA)</w:t>
      </w:r>
      <w:r>
        <w:rPr>
          <w:lang w:val="en"/>
        </w:rPr>
        <w:t xml:space="preserve"> </w:t>
      </w:r>
      <w:r>
        <w:rPr>
          <w:lang w:val="en-US"/>
        </w:rPr>
        <w:t>as the inability of a person to look after their own health, safety or welfare, or manage their own affairs, as the result of certain specified matters. See also s 21(2).</w:t>
      </w:r>
    </w:p>
  </w:footnote>
  <w:footnote w:id="179">
    <w:p w14:paraId="78E91287" w14:textId="77777777" w:rsidR="00030303" w:rsidRPr="00E33A41" w:rsidRDefault="00030303" w:rsidP="00030303">
      <w:pPr>
        <w:pStyle w:val="FootnoteText"/>
        <w:rPr>
          <w:lang w:val="en-US"/>
        </w:rPr>
      </w:pPr>
      <w:r>
        <w:rPr>
          <w:rStyle w:val="FootnoteReference"/>
        </w:rPr>
        <w:footnoteRef/>
      </w:r>
      <w:r>
        <w:t xml:space="preserve"> </w:t>
      </w:r>
      <w:r>
        <w:rPr>
          <w:i/>
          <w:lang w:val="en"/>
        </w:rPr>
        <w:t xml:space="preserve">Guardianship and Administration Act 1993 </w:t>
      </w:r>
      <w:r>
        <w:rPr>
          <w:lang w:val="en"/>
        </w:rPr>
        <w:t xml:space="preserve">(SA) s 21(1). </w:t>
      </w:r>
    </w:p>
  </w:footnote>
  <w:footnote w:id="180">
    <w:p w14:paraId="2078C64C" w14:textId="77777777" w:rsidR="00030303" w:rsidRPr="00316208" w:rsidRDefault="00030303" w:rsidP="00030303">
      <w:pPr>
        <w:pStyle w:val="FootnoteText"/>
        <w:rPr>
          <w:lang w:val="en-US"/>
        </w:rPr>
      </w:pPr>
      <w:r>
        <w:rPr>
          <w:rStyle w:val="FootnoteReference"/>
        </w:rPr>
        <w:footnoteRef/>
      </w:r>
      <w:r>
        <w:t xml:space="preserve"> </w:t>
      </w:r>
      <w:r>
        <w:rPr>
          <w:i/>
          <w:lang w:val="en"/>
        </w:rPr>
        <w:t xml:space="preserve">Guardianship and Administration Act 1995 </w:t>
      </w:r>
      <w:r>
        <w:rPr>
          <w:lang w:val="en"/>
        </w:rPr>
        <w:t>(Tas) s 14.</w:t>
      </w:r>
    </w:p>
  </w:footnote>
  <w:footnote w:id="181">
    <w:p w14:paraId="545C11D2" w14:textId="77777777" w:rsidR="00030303" w:rsidRPr="00BA3272" w:rsidRDefault="00030303" w:rsidP="00030303">
      <w:pPr>
        <w:pStyle w:val="FootnoteText"/>
        <w:rPr>
          <w:lang w:val="en-US"/>
        </w:rPr>
      </w:pPr>
      <w:r>
        <w:rPr>
          <w:rStyle w:val="FootnoteReference"/>
        </w:rPr>
        <w:footnoteRef/>
      </w:r>
      <w:r>
        <w:t xml:space="preserve"> </w:t>
      </w:r>
      <w:r>
        <w:rPr>
          <w:i/>
          <w:lang w:val="en"/>
        </w:rPr>
        <w:t xml:space="preserve">Guardianship and Administration Act 1995 </w:t>
      </w:r>
      <w:r>
        <w:rPr>
          <w:lang w:val="en"/>
        </w:rPr>
        <w:t>(Tas) s 15(1).</w:t>
      </w:r>
    </w:p>
  </w:footnote>
  <w:footnote w:id="182">
    <w:p w14:paraId="6B2498AD" w14:textId="77777777" w:rsidR="00030303" w:rsidRPr="00BA3272" w:rsidRDefault="00030303" w:rsidP="00030303">
      <w:pPr>
        <w:pStyle w:val="FootnoteText"/>
        <w:rPr>
          <w:lang w:val="en-US"/>
        </w:rPr>
      </w:pPr>
      <w:r>
        <w:rPr>
          <w:rStyle w:val="FootnoteReference"/>
        </w:rPr>
        <w:footnoteRef/>
      </w:r>
      <w:r>
        <w:t xml:space="preserve"> </w:t>
      </w:r>
      <w:r>
        <w:rPr>
          <w:i/>
          <w:lang w:val="en"/>
        </w:rPr>
        <w:t xml:space="preserve">Guardianship and Administration Act 1995 </w:t>
      </w:r>
      <w:r>
        <w:rPr>
          <w:lang w:val="en"/>
        </w:rPr>
        <w:t>(Tas) s 15(2).</w:t>
      </w:r>
    </w:p>
  </w:footnote>
  <w:footnote w:id="183">
    <w:p w14:paraId="76021A8F" w14:textId="77777777" w:rsidR="00030303" w:rsidRPr="003037A5" w:rsidRDefault="00030303" w:rsidP="00030303">
      <w:pPr>
        <w:pStyle w:val="FootnoteText"/>
        <w:rPr>
          <w:lang w:val="en-US"/>
        </w:rPr>
      </w:pPr>
      <w:r>
        <w:rPr>
          <w:rStyle w:val="FootnoteReference"/>
        </w:rPr>
        <w:footnoteRef/>
      </w:r>
      <w:r>
        <w:t xml:space="preserve"> </w:t>
      </w:r>
      <w:r>
        <w:rPr>
          <w:i/>
          <w:lang w:val="en"/>
        </w:rPr>
        <w:t xml:space="preserve">Guardianship and Administration Act 1995 </w:t>
      </w:r>
      <w:r>
        <w:rPr>
          <w:lang w:val="en"/>
        </w:rPr>
        <w:t>(Tas) s 17(1).</w:t>
      </w:r>
    </w:p>
  </w:footnote>
  <w:footnote w:id="184">
    <w:p w14:paraId="49C1C793" w14:textId="77777777" w:rsidR="00030303" w:rsidRPr="00E94964" w:rsidRDefault="00030303" w:rsidP="00030303">
      <w:pPr>
        <w:pStyle w:val="FootnoteText"/>
        <w:rPr>
          <w:lang w:val="en-US"/>
        </w:rPr>
      </w:pPr>
      <w:r>
        <w:rPr>
          <w:rStyle w:val="FootnoteReference"/>
        </w:rPr>
        <w:footnoteRef/>
      </w:r>
      <w:r>
        <w:t xml:space="preserve"> </w:t>
      </w:r>
      <w:r>
        <w:rPr>
          <w:rStyle w:val="ng-scope"/>
          <w:i/>
        </w:rPr>
        <w:t xml:space="preserve">Guardianship and Administration Act 2019 </w:t>
      </w:r>
      <w:r>
        <w:rPr>
          <w:rStyle w:val="ng-scope"/>
        </w:rPr>
        <w:t>(Vic) s 16(1).</w:t>
      </w:r>
    </w:p>
  </w:footnote>
  <w:footnote w:id="185">
    <w:p w14:paraId="2A123456" w14:textId="77777777" w:rsidR="00030303" w:rsidRPr="00F249A5" w:rsidRDefault="00030303" w:rsidP="00030303">
      <w:pPr>
        <w:pStyle w:val="FootnoteText"/>
        <w:rPr>
          <w:lang w:val="en-US"/>
        </w:rPr>
      </w:pPr>
      <w:r>
        <w:rPr>
          <w:rStyle w:val="FootnoteReference"/>
        </w:rPr>
        <w:footnoteRef/>
      </w:r>
      <w:r>
        <w:t xml:space="preserve"> </w:t>
      </w:r>
      <w:r>
        <w:rPr>
          <w:i/>
        </w:rPr>
        <w:t xml:space="preserve">Guardianship and Administration Act 2019 </w:t>
      </w:r>
      <w:r>
        <w:t xml:space="preserve">(Vic) ss 17(1), (7). </w:t>
      </w:r>
    </w:p>
  </w:footnote>
  <w:footnote w:id="186">
    <w:p w14:paraId="176E8A3B" w14:textId="77777777" w:rsidR="00030303" w:rsidRPr="00362460" w:rsidRDefault="00030303" w:rsidP="00030303">
      <w:pPr>
        <w:pStyle w:val="FootnoteText"/>
        <w:rPr>
          <w:lang w:val="en-US"/>
        </w:rPr>
      </w:pPr>
      <w:r>
        <w:rPr>
          <w:rStyle w:val="FootnoteReference"/>
        </w:rPr>
        <w:footnoteRef/>
      </w:r>
      <w:r>
        <w:t xml:space="preserve"> </w:t>
      </w:r>
      <w:r w:rsidRPr="00333014">
        <w:rPr>
          <w:i/>
        </w:rPr>
        <w:t>Guardianship and Administration Act 1990</w:t>
      </w:r>
      <w:r>
        <w:t xml:space="preserve"> (WA) s 91.</w:t>
      </w:r>
    </w:p>
  </w:footnote>
  <w:footnote w:id="187">
    <w:p w14:paraId="06B9BBC0" w14:textId="77777777" w:rsidR="00030303" w:rsidRPr="00333014" w:rsidRDefault="00030303" w:rsidP="00030303">
      <w:pPr>
        <w:pStyle w:val="FootnoteText"/>
        <w:rPr>
          <w:lang w:val="en-US"/>
        </w:rPr>
      </w:pPr>
      <w:r>
        <w:rPr>
          <w:rStyle w:val="FootnoteReference"/>
        </w:rPr>
        <w:footnoteRef/>
      </w:r>
      <w:r>
        <w:t xml:space="preserve"> </w:t>
      </w:r>
      <w:r w:rsidRPr="00333014">
        <w:rPr>
          <w:i/>
        </w:rPr>
        <w:t>Guardianship and Administration Act 1990</w:t>
      </w:r>
      <w:r>
        <w:t xml:space="preserve"> (WA) s 97(1).</w:t>
      </w:r>
    </w:p>
  </w:footnote>
  <w:footnote w:id="188">
    <w:p w14:paraId="1E645EB6" w14:textId="77777777" w:rsidR="00030303" w:rsidRPr="00333014" w:rsidRDefault="00030303" w:rsidP="00030303">
      <w:pPr>
        <w:pStyle w:val="FootnoteText"/>
        <w:rPr>
          <w:lang w:val="en-US"/>
        </w:rPr>
      </w:pPr>
      <w:r>
        <w:rPr>
          <w:rStyle w:val="FootnoteReference"/>
        </w:rPr>
        <w:footnoteRef/>
      </w:r>
      <w:r>
        <w:t xml:space="preserve"> </w:t>
      </w:r>
      <w:r w:rsidRPr="00333014">
        <w:rPr>
          <w:i/>
        </w:rPr>
        <w:t>Guardianship and Administration Act 1990</w:t>
      </w:r>
      <w:r>
        <w:t xml:space="preserve"> (WA) s 97(2).</w:t>
      </w:r>
    </w:p>
  </w:footnote>
  <w:footnote w:id="189">
    <w:p w14:paraId="0B923B2C" w14:textId="77777777" w:rsidR="00030303" w:rsidRPr="00333014" w:rsidRDefault="00030303" w:rsidP="00030303">
      <w:pPr>
        <w:pStyle w:val="FootnoteText"/>
        <w:rPr>
          <w:lang w:val="en-US"/>
        </w:rPr>
      </w:pPr>
      <w:r>
        <w:rPr>
          <w:rStyle w:val="FootnoteReference"/>
        </w:rPr>
        <w:footnoteRef/>
      </w:r>
      <w:r>
        <w:t xml:space="preserve"> </w:t>
      </w:r>
      <w:r w:rsidRPr="00333014">
        <w:rPr>
          <w:i/>
        </w:rPr>
        <w:t>Guardianship and Administration Act 1990</w:t>
      </w:r>
      <w:r>
        <w:t xml:space="preserve"> (WA) s 101</w:t>
      </w:r>
      <w:proofErr w:type="gramStart"/>
      <w:r>
        <w:t>A(</w:t>
      </w:r>
      <w:proofErr w:type="gramEnd"/>
      <w:r>
        <w:t>1).</w:t>
      </w:r>
    </w:p>
  </w:footnote>
  <w:footnote w:id="190">
    <w:p w14:paraId="03F4AC4D" w14:textId="77777777" w:rsidR="00030303" w:rsidRPr="00CE7D49" w:rsidRDefault="00030303" w:rsidP="00030303">
      <w:pPr>
        <w:pStyle w:val="FootnoteText"/>
        <w:rPr>
          <w:lang w:val="en-US"/>
        </w:rPr>
      </w:pPr>
      <w:r>
        <w:rPr>
          <w:rStyle w:val="FootnoteReference"/>
        </w:rPr>
        <w:footnoteRef/>
      </w:r>
      <w:r>
        <w:t xml:space="preserve"> </w:t>
      </w:r>
      <w:r w:rsidRPr="00333014">
        <w:rPr>
          <w:i/>
        </w:rPr>
        <w:t>Guardianship and Administration Act 1990</w:t>
      </w:r>
      <w:r>
        <w:t xml:space="preserve"> (WA) s 101</w:t>
      </w:r>
      <w:proofErr w:type="gramStart"/>
      <w:r>
        <w:t>A(</w:t>
      </w:r>
      <w:proofErr w:type="gramEnd"/>
      <w:r>
        <w:t>2).</w:t>
      </w:r>
    </w:p>
  </w:footnote>
  <w:footnote w:id="191">
    <w:p w14:paraId="5C82CAFB" w14:textId="77777777" w:rsidR="00030303" w:rsidRPr="00274C98" w:rsidRDefault="00030303" w:rsidP="00030303">
      <w:pPr>
        <w:pStyle w:val="FootnoteText"/>
        <w:rPr>
          <w:lang w:val="en-US"/>
        </w:rPr>
      </w:pPr>
      <w:r>
        <w:rPr>
          <w:rStyle w:val="FootnoteReference"/>
        </w:rPr>
        <w:footnoteRef/>
      </w:r>
      <w:r>
        <w:t xml:space="preserve"> </w:t>
      </w:r>
      <w:r>
        <w:rPr>
          <w:i/>
        </w:rPr>
        <w:t xml:space="preserve">Disability Services Act 1991 </w:t>
      </w:r>
      <w:r>
        <w:t>(ACT) s 8</w:t>
      </w:r>
      <w:proofErr w:type="gramStart"/>
      <w:r>
        <w:t>B(</w:t>
      </w:r>
      <w:proofErr w:type="gramEnd"/>
      <w:r>
        <w:t>1).</w:t>
      </w:r>
    </w:p>
  </w:footnote>
  <w:footnote w:id="192">
    <w:p w14:paraId="20B1E430" w14:textId="77777777" w:rsidR="00030303" w:rsidRPr="00274C98" w:rsidRDefault="00030303" w:rsidP="00030303">
      <w:pPr>
        <w:pStyle w:val="FootnoteText"/>
        <w:rPr>
          <w:lang w:val="en-US"/>
        </w:rPr>
      </w:pPr>
      <w:r>
        <w:rPr>
          <w:rStyle w:val="FootnoteReference"/>
        </w:rPr>
        <w:footnoteRef/>
      </w:r>
      <w:r>
        <w:t xml:space="preserve"> </w:t>
      </w:r>
      <w:r>
        <w:rPr>
          <w:lang w:val="en-US"/>
        </w:rPr>
        <w:t xml:space="preserve">‘Specialist disability service provider’ is defined in s 5 of the Act as a person or entity that provides specialist disability services (subject to certain exclusions). ‘Specialist disability services’ are defined in s 4 and specified in Schedule 1 of the </w:t>
      </w:r>
      <w:r w:rsidRPr="00B84568">
        <w:rPr>
          <w:i/>
          <w:lang w:val="en-US"/>
        </w:rPr>
        <w:t>Disability Services (Specialist Disability Service Types) Declaration 2014</w:t>
      </w:r>
      <w:r w:rsidRPr="005E64CC">
        <w:rPr>
          <w:lang w:val="en-US"/>
        </w:rPr>
        <w:t xml:space="preserve"> </w:t>
      </w:r>
      <w:r>
        <w:rPr>
          <w:lang w:val="en-US"/>
        </w:rPr>
        <w:t xml:space="preserve">(ACT) </w:t>
      </w:r>
      <w:r w:rsidRPr="005E64CC">
        <w:rPr>
          <w:lang w:val="en-US"/>
        </w:rPr>
        <w:t>(No 1)</w:t>
      </w:r>
      <w:r>
        <w:rPr>
          <w:lang w:val="en-US"/>
        </w:rPr>
        <w:t xml:space="preserve"> in terms that would appear to capture a range of NDIS services.</w:t>
      </w:r>
    </w:p>
  </w:footnote>
  <w:footnote w:id="193">
    <w:p w14:paraId="638BD995" w14:textId="77777777" w:rsidR="00030303" w:rsidRDefault="00030303" w:rsidP="00030303">
      <w:pPr>
        <w:pStyle w:val="FootnoteText"/>
        <w:rPr>
          <w:lang w:val="en-US"/>
        </w:rPr>
      </w:pPr>
      <w:r>
        <w:rPr>
          <w:rStyle w:val="FootnoteReference"/>
        </w:rPr>
        <w:footnoteRef/>
      </w:r>
      <w:r>
        <w:t xml:space="preserve"> </w:t>
      </w:r>
      <w:r>
        <w:rPr>
          <w:i/>
        </w:rPr>
        <w:t xml:space="preserve">Official Visitor Act 2012 </w:t>
      </w:r>
      <w:r>
        <w:t xml:space="preserve">(ACT) s 14(1). </w:t>
      </w:r>
    </w:p>
  </w:footnote>
  <w:footnote w:id="194">
    <w:p w14:paraId="0727024C" w14:textId="77777777" w:rsidR="00030303" w:rsidRPr="00D8485C" w:rsidRDefault="00030303" w:rsidP="00030303">
      <w:pPr>
        <w:pStyle w:val="FootnoteText"/>
        <w:rPr>
          <w:lang w:val="en-US"/>
        </w:rPr>
      </w:pPr>
      <w:r>
        <w:rPr>
          <w:rStyle w:val="FootnoteReference"/>
        </w:rPr>
        <w:footnoteRef/>
      </w:r>
      <w:r>
        <w:t xml:space="preserve"> </w:t>
      </w:r>
      <w:r>
        <w:rPr>
          <w:i/>
        </w:rPr>
        <w:t xml:space="preserve">Official Visitor Act 2012 </w:t>
      </w:r>
      <w:r>
        <w:t xml:space="preserve">(ACT) s 22. </w:t>
      </w:r>
    </w:p>
  </w:footnote>
  <w:footnote w:id="195">
    <w:p w14:paraId="7E8FD6ED" w14:textId="77777777" w:rsidR="00030303" w:rsidRPr="006D4831" w:rsidRDefault="00030303" w:rsidP="00030303">
      <w:pPr>
        <w:pStyle w:val="FootnoteText"/>
        <w:rPr>
          <w:lang w:val="en-US"/>
        </w:rPr>
      </w:pPr>
      <w:r>
        <w:rPr>
          <w:rStyle w:val="FootnoteReference"/>
        </w:rPr>
        <w:footnoteRef/>
      </w:r>
      <w:r>
        <w:t xml:space="preserve"> </w:t>
      </w:r>
      <w:r>
        <w:rPr>
          <w:i/>
        </w:rPr>
        <w:t xml:space="preserve">Official Visitor Act 2012 </w:t>
      </w:r>
      <w:r>
        <w:t xml:space="preserve">(ACT) s 16. </w:t>
      </w:r>
    </w:p>
  </w:footnote>
  <w:footnote w:id="196">
    <w:p w14:paraId="6F354093" w14:textId="77777777" w:rsidR="00030303" w:rsidRPr="00D87F83" w:rsidRDefault="00030303" w:rsidP="00030303">
      <w:pPr>
        <w:pStyle w:val="FootnoteText"/>
        <w:rPr>
          <w:lang w:val="en-US"/>
        </w:rPr>
      </w:pPr>
      <w:r>
        <w:rPr>
          <w:rStyle w:val="FootnoteReference"/>
        </w:rPr>
        <w:footnoteRef/>
      </w:r>
      <w:r>
        <w:t xml:space="preserve"> </w:t>
      </w:r>
      <w:r w:rsidRPr="006D0410">
        <w:rPr>
          <w:i/>
        </w:rPr>
        <w:t>Ageing and Disability Commissioner Act 2019</w:t>
      </w:r>
      <w:r w:rsidRPr="006D0410">
        <w:t xml:space="preserve"> (NSW</w:t>
      </w:r>
      <w:r>
        <w:t xml:space="preserve">) s 21(1)-(2). </w:t>
      </w:r>
    </w:p>
  </w:footnote>
  <w:footnote w:id="197">
    <w:p w14:paraId="68FB389E" w14:textId="77777777" w:rsidR="00030303" w:rsidRPr="002D64F4" w:rsidRDefault="00030303" w:rsidP="00030303">
      <w:pPr>
        <w:pStyle w:val="FootnoteText"/>
        <w:rPr>
          <w:lang w:val="en-US"/>
        </w:rPr>
      </w:pPr>
      <w:r>
        <w:rPr>
          <w:rStyle w:val="FootnoteReference"/>
        </w:rPr>
        <w:footnoteRef/>
      </w:r>
      <w:r>
        <w:t xml:space="preserve"> </w:t>
      </w:r>
      <w:r w:rsidRPr="006D0410">
        <w:rPr>
          <w:i/>
        </w:rPr>
        <w:t>Ageing and Disability Commissioner Act 2019</w:t>
      </w:r>
      <w:r w:rsidRPr="006D0410">
        <w:t xml:space="preserve"> (NSW)</w:t>
      </w:r>
      <w:r>
        <w:t xml:space="preserve"> s 20; </w:t>
      </w:r>
      <w:r w:rsidRPr="002D64F4">
        <w:rPr>
          <w:i/>
        </w:rPr>
        <w:t>Ageing and Disability Commissioner Regulation 2019</w:t>
      </w:r>
      <w:r>
        <w:t xml:space="preserve"> (NSW) s 6. </w:t>
      </w:r>
    </w:p>
  </w:footnote>
  <w:footnote w:id="198">
    <w:p w14:paraId="08B7F0ED" w14:textId="77777777" w:rsidR="00030303" w:rsidRPr="00F9639F" w:rsidRDefault="00030303" w:rsidP="00030303">
      <w:pPr>
        <w:pStyle w:val="FootnoteText"/>
        <w:rPr>
          <w:lang w:val="en-US"/>
        </w:rPr>
      </w:pPr>
      <w:r>
        <w:rPr>
          <w:rStyle w:val="FootnoteReference"/>
        </w:rPr>
        <w:footnoteRef/>
      </w:r>
      <w:r>
        <w:t xml:space="preserve"> </w:t>
      </w:r>
      <w:r w:rsidRPr="006D0410">
        <w:rPr>
          <w:i/>
        </w:rPr>
        <w:t>Ageing and Disability Commissioner Act 2019</w:t>
      </w:r>
      <w:r w:rsidRPr="006D0410">
        <w:t xml:space="preserve"> (NSW)</w:t>
      </w:r>
      <w:r>
        <w:t xml:space="preserve"> s 22(1).</w:t>
      </w:r>
    </w:p>
  </w:footnote>
  <w:footnote w:id="199">
    <w:p w14:paraId="13A25A50" w14:textId="77777777" w:rsidR="00030303" w:rsidRPr="00EC6B08" w:rsidRDefault="00030303" w:rsidP="00030303">
      <w:pPr>
        <w:pStyle w:val="FootnoteText"/>
        <w:rPr>
          <w:lang w:val="en-US"/>
        </w:rPr>
      </w:pPr>
      <w:r>
        <w:rPr>
          <w:rStyle w:val="FootnoteReference"/>
        </w:rPr>
        <w:footnoteRef/>
      </w:r>
      <w:r>
        <w:t xml:space="preserve"> </w:t>
      </w:r>
      <w:r w:rsidRPr="006D0410">
        <w:rPr>
          <w:i/>
        </w:rPr>
        <w:t>Ageing and Disability Commissioner Act 2019</w:t>
      </w:r>
      <w:r w:rsidRPr="006D0410">
        <w:t xml:space="preserve"> (NSW)</w:t>
      </w:r>
      <w:r>
        <w:t xml:space="preserve"> s 24. </w:t>
      </w:r>
    </w:p>
  </w:footnote>
  <w:footnote w:id="200">
    <w:p w14:paraId="566F7AF7" w14:textId="77777777" w:rsidR="00030303" w:rsidRDefault="00030303" w:rsidP="00030303">
      <w:pPr>
        <w:pStyle w:val="FootnoteText"/>
        <w:rPr>
          <w:lang w:val="en-US"/>
        </w:rPr>
      </w:pPr>
      <w:r>
        <w:rPr>
          <w:rStyle w:val="FootnoteReference"/>
        </w:rPr>
        <w:footnoteRef/>
      </w:r>
      <w:r>
        <w:t xml:space="preserve"> </w:t>
      </w:r>
      <w:r>
        <w:rPr>
          <w:i/>
        </w:rPr>
        <w:t xml:space="preserve">Disability Services Act 1993 </w:t>
      </w:r>
      <w:r>
        <w:t>(NT) s 55(1).</w:t>
      </w:r>
    </w:p>
  </w:footnote>
  <w:footnote w:id="201">
    <w:p w14:paraId="0DCD2FA6" w14:textId="77777777" w:rsidR="00030303" w:rsidRDefault="00030303" w:rsidP="00030303">
      <w:pPr>
        <w:pStyle w:val="FootnoteText"/>
        <w:rPr>
          <w:lang w:val="en-US"/>
        </w:rPr>
      </w:pPr>
      <w:r>
        <w:rPr>
          <w:rStyle w:val="FootnoteReference"/>
        </w:rPr>
        <w:footnoteRef/>
      </w:r>
      <w:r>
        <w:t xml:space="preserve"> </w:t>
      </w:r>
      <w:r>
        <w:rPr>
          <w:i/>
        </w:rPr>
        <w:t xml:space="preserve">Disability Services Act 1993 </w:t>
      </w:r>
      <w:r>
        <w:t xml:space="preserve">(NT) s 56. </w:t>
      </w:r>
    </w:p>
  </w:footnote>
  <w:footnote w:id="202">
    <w:p w14:paraId="13A9A596" w14:textId="77777777" w:rsidR="00030303" w:rsidRPr="00740A38" w:rsidRDefault="00030303" w:rsidP="00030303">
      <w:pPr>
        <w:pStyle w:val="FootnoteText"/>
        <w:rPr>
          <w:lang w:val="en-US"/>
        </w:rPr>
      </w:pPr>
      <w:r>
        <w:rPr>
          <w:rStyle w:val="FootnoteReference"/>
        </w:rPr>
        <w:footnoteRef/>
      </w:r>
      <w:r>
        <w:t xml:space="preserve"> </w:t>
      </w:r>
      <w:r>
        <w:rPr>
          <w:i/>
        </w:rPr>
        <w:t xml:space="preserve">Public Guardian Act 2014 </w:t>
      </w:r>
      <w:r>
        <w:t>(Qld) s 40.</w:t>
      </w:r>
    </w:p>
  </w:footnote>
  <w:footnote w:id="203">
    <w:p w14:paraId="6E421A65" w14:textId="77777777" w:rsidR="00030303" w:rsidRPr="00027281" w:rsidRDefault="00030303" w:rsidP="00030303">
      <w:pPr>
        <w:pStyle w:val="FootnoteText"/>
        <w:rPr>
          <w:lang w:val="en-US"/>
        </w:rPr>
      </w:pPr>
      <w:r>
        <w:rPr>
          <w:rStyle w:val="FootnoteReference"/>
        </w:rPr>
        <w:footnoteRef/>
      </w:r>
      <w:r>
        <w:t xml:space="preserve"> </w:t>
      </w:r>
      <w:r>
        <w:rPr>
          <w:i/>
        </w:rPr>
        <w:t xml:space="preserve">Public Guardian Act 2014 </w:t>
      </w:r>
      <w:r>
        <w:t>(Qld) ss 41(1), 42(1).</w:t>
      </w:r>
    </w:p>
  </w:footnote>
  <w:footnote w:id="204">
    <w:p w14:paraId="78FB89A7" w14:textId="77777777" w:rsidR="00030303" w:rsidRPr="004E70B1" w:rsidRDefault="00030303" w:rsidP="00030303">
      <w:pPr>
        <w:pStyle w:val="FootnoteText"/>
        <w:rPr>
          <w:lang w:val="en-US"/>
        </w:rPr>
      </w:pPr>
      <w:r>
        <w:rPr>
          <w:rStyle w:val="FootnoteReference"/>
        </w:rPr>
        <w:footnoteRef/>
      </w:r>
      <w:r>
        <w:t xml:space="preserve"> </w:t>
      </w:r>
      <w:r>
        <w:rPr>
          <w:i/>
        </w:rPr>
        <w:t xml:space="preserve">Public Guardian Act 2014 </w:t>
      </w:r>
      <w:r>
        <w:t>(Qld) s 41(2).</w:t>
      </w:r>
    </w:p>
  </w:footnote>
  <w:footnote w:id="205">
    <w:p w14:paraId="64DCBA56" w14:textId="77777777" w:rsidR="00030303" w:rsidRPr="00403DBA" w:rsidRDefault="00030303" w:rsidP="00030303">
      <w:pPr>
        <w:pStyle w:val="FootnoteText"/>
        <w:rPr>
          <w:lang w:val="en-US"/>
        </w:rPr>
      </w:pPr>
      <w:r>
        <w:rPr>
          <w:rStyle w:val="FootnoteReference"/>
        </w:rPr>
        <w:footnoteRef/>
      </w:r>
      <w:r>
        <w:t xml:space="preserve"> </w:t>
      </w:r>
      <w:r>
        <w:rPr>
          <w:i/>
        </w:rPr>
        <w:t xml:space="preserve">Public Guardian Act 2014 </w:t>
      </w:r>
      <w:r>
        <w:t>(Qld) s 41(3).</w:t>
      </w:r>
    </w:p>
  </w:footnote>
  <w:footnote w:id="206">
    <w:p w14:paraId="02E55A06" w14:textId="77777777" w:rsidR="00030303" w:rsidRPr="007A1FF2" w:rsidRDefault="00030303" w:rsidP="00030303">
      <w:pPr>
        <w:pStyle w:val="FootnoteText"/>
        <w:rPr>
          <w:lang w:val="en-US"/>
        </w:rPr>
      </w:pPr>
      <w:r>
        <w:rPr>
          <w:rStyle w:val="FootnoteReference"/>
        </w:rPr>
        <w:footnoteRef/>
      </w:r>
      <w:r>
        <w:t xml:space="preserve"> </w:t>
      </w:r>
      <w:r w:rsidRPr="004941C2">
        <w:rPr>
          <w:i/>
        </w:rPr>
        <w:t>Disability Services (Community Visitor Scheme) Regulations 2013</w:t>
      </w:r>
      <w:r>
        <w:t xml:space="preserve"> (SA) </w:t>
      </w:r>
      <w:r>
        <w:rPr>
          <w:lang w:val="en-US"/>
        </w:rPr>
        <w:t xml:space="preserve">s 3. ‘Eligible person’ </w:t>
      </w:r>
      <w:r>
        <w:t>means an adult person with a disability who has, in connection with a funding arrangement under a law of South Australia or the Commonwealth, been assessed as unable to work or undertake formal study.</w:t>
      </w:r>
    </w:p>
  </w:footnote>
  <w:footnote w:id="207">
    <w:p w14:paraId="33BB576C" w14:textId="77777777" w:rsidR="00030303" w:rsidRPr="00973122" w:rsidRDefault="00030303" w:rsidP="00030303">
      <w:pPr>
        <w:pStyle w:val="FootnoteText"/>
        <w:rPr>
          <w:lang w:val="en-US"/>
        </w:rPr>
      </w:pPr>
      <w:r>
        <w:rPr>
          <w:rStyle w:val="FootnoteReference"/>
        </w:rPr>
        <w:footnoteRef/>
      </w:r>
      <w:r>
        <w:t xml:space="preserve"> </w:t>
      </w:r>
      <w:r w:rsidRPr="004941C2">
        <w:rPr>
          <w:i/>
        </w:rPr>
        <w:t>Disability Services (Community Visitor Scheme) Regulations 2013</w:t>
      </w:r>
      <w:r>
        <w:rPr>
          <w:i/>
        </w:rPr>
        <w:t xml:space="preserve"> </w:t>
      </w:r>
      <w:r>
        <w:t>(SA) s 4(1)(a)-(ab).</w:t>
      </w:r>
    </w:p>
  </w:footnote>
  <w:footnote w:id="208">
    <w:p w14:paraId="35158967" w14:textId="77777777" w:rsidR="00030303" w:rsidRPr="009C40D3" w:rsidRDefault="00030303" w:rsidP="00030303">
      <w:pPr>
        <w:pStyle w:val="FootnoteText"/>
        <w:rPr>
          <w:lang w:val="en-US"/>
        </w:rPr>
      </w:pPr>
      <w:r>
        <w:rPr>
          <w:rStyle w:val="FootnoteReference"/>
        </w:rPr>
        <w:footnoteRef/>
      </w:r>
      <w:r>
        <w:t xml:space="preserve"> </w:t>
      </w:r>
      <w:r w:rsidRPr="004941C2">
        <w:rPr>
          <w:i/>
        </w:rPr>
        <w:t>Disability Services (Community Visitor Scheme) Regulations 2013</w:t>
      </w:r>
      <w:r>
        <w:rPr>
          <w:i/>
        </w:rPr>
        <w:t xml:space="preserve"> </w:t>
      </w:r>
      <w:r>
        <w:t>(SA) s 4(1)(b)-(c).</w:t>
      </w:r>
    </w:p>
  </w:footnote>
  <w:footnote w:id="209">
    <w:p w14:paraId="1645039F" w14:textId="77777777" w:rsidR="00030303" w:rsidRPr="00193A78" w:rsidRDefault="00030303" w:rsidP="00030303">
      <w:pPr>
        <w:pStyle w:val="FootnoteText"/>
        <w:rPr>
          <w:lang w:val="en-US"/>
        </w:rPr>
      </w:pPr>
      <w:r>
        <w:rPr>
          <w:rStyle w:val="FootnoteReference"/>
        </w:rPr>
        <w:footnoteRef/>
      </w:r>
      <w:r>
        <w:t xml:space="preserve"> </w:t>
      </w:r>
      <w:r>
        <w:rPr>
          <w:lang w:val="en-US"/>
        </w:rPr>
        <w:t xml:space="preserve">Government of South Australia, </w:t>
      </w:r>
      <w:r>
        <w:rPr>
          <w:i/>
          <w:lang w:val="en-US"/>
        </w:rPr>
        <w:t>Community Visitor Scheme</w:t>
      </w:r>
      <w:r>
        <w:rPr>
          <w:i/>
        </w:rPr>
        <w:t xml:space="preserve"> </w:t>
      </w:r>
      <w:r>
        <w:t>(Web Page) &lt;</w:t>
      </w:r>
      <w:r w:rsidRPr="00193A78">
        <w:t>https://communityvisitorscheme.sa.gov.au/about-us</w:t>
      </w:r>
      <w:r>
        <w:t>&gt;.</w:t>
      </w:r>
    </w:p>
  </w:footnote>
  <w:footnote w:id="210">
    <w:p w14:paraId="70A89E03" w14:textId="77777777" w:rsidR="00030303" w:rsidRDefault="00030303" w:rsidP="00030303">
      <w:pPr>
        <w:pStyle w:val="FootnoteText"/>
      </w:pPr>
      <w:r>
        <w:rPr>
          <w:rStyle w:val="FootnoteReference"/>
        </w:rPr>
        <w:footnoteRef/>
      </w:r>
      <w:r>
        <w:t xml:space="preserve"> </w:t>
      </w:r>
      <w:r w:rsidRPr="002C43D9">
        <w:rPr>
          <w:i/>
        </w:rPr>
        <w:t>Mental Health Act 2013</w:t>
      </w:r>
      <w:r w:rsidRPr="002C43D9">
        <w:t xml:space="preserve"> (Tas)</w:t>
      </w:r>
      <w:r>
        <w:t xml:space="preserve"> Part 2.</w:t>
      </w:r>
    </w:p>
  </w:footnote>
  <w:footnote w:id="211">
    <w:p w14:paraId="0FC2BC39" w14:textId="77777777" w:rsidR="00030303" w:rsidRPr="006D5074" w:rsidRDefault="00030303" w:rsidP="00030303">
      <w:pPr>
        <w:pStyle w:val="FootnoteText"/>
        <w:rPr>
          <w:lang w:val="en-US"/>
        </w:rPr>
      </w:pPr>
      <w:r>
        <w:rPr>
          <w:rStyle w:val="FootnoteReference"/>
        </w:rPr>
        <w:footnoteRef/>
      </w:r>
      <w:r>
        <w:t xml:space="preserve"> </w:t>
      </w:r>
      <w:r w:rsidRPr="00EB21DF">
        <w:rPr>
          <w:i/>
        </w:rPr>
        <w:t>Supported Residential Services (Private Proprietors) Act 2010</w:t>
      </w:r>
      <w:r w:rsidRPr="00EB21DF">
        <w:t xml:space="preserve"> (Vic)</w:t>
      </w:r>
      <w:r>
        <w:t xml:space="preserve"> </w:t>
      </w:r>
      <w:r>
        <w:rPr>
          <w:lang w:val="en-US"/>
        </w:rPr>
        <w:t xml:space="preserve">s 184. </w:t>
      </w:r>
    </w:p>
  </w:footnote>
  <w:footnote w:id="212">
    <w:p w14:paraId="3CBB962C" w14:textId="77777777" w:rsidR="00030303" w:rsidRPr="00B31A85" w:rsidRDefault="00030303" w:rsidP="00030303">
      <w:pPr>
        <w:pStyle w:val="FootnoteText"/>
        <w:rPr>
          <w:lang w:val="en-US"/>
        </w:rPr>
      </w:pPr>
      <w:r>
        <w:rPr>
          <w:rStyle w:val="FootnoteReference"/>
        </w:rPr>
        <w:footnoteRef/>
      </w:r>
      <w:r w:rsidRPr="00EB21DF">
        <w:rPr>
          <w:i/>
        </w:rPr>
        <w:t>Supported Residential Services (Private Proprietors) Act 2010</w:t>
      </w:r>
      <w:r w:rsidRPr="00EB21DF">
        <w:t xml:space="preserve"> (Vic)</w:t>
      </w:r>
      <w:r>
        <w:rPr>
          <w:lang w:val="en-US"/>
        </w:rPr>
        <w:t xml:space="preserve"> s 186(1).</w:t>
      </w:r>
    </w:p>
  </w:footnote>
  <w:footnote w:id="213">
    <w:p w14:paraId="037CEA0F" w14:textId="77777777" w:rsidR="00030303" w:rsidRPr="000A0F3C" w:rsidRDefault="00030303" w:rsidP="00030303">
      <w:pPr>
        <w:pStyle w:val="FootnoteText"/>
        <w:rPr>
          <w:lang w:val="en-US"/>
        </w:rPr>
      </w:pPr>
      <w:r>
        <w:rPr>
          <w:rStyle w:val="FootnoteReference"/>
        </w:rPr>
        <w:footnoteRef/>
      </w:r>
      <w:r>
        <w:rPr>
          <w:i/>
        </w:rPr>
        <w:t xml:space="preserve"> </w:t>
      </w:r>
      <w:r w:rsidRPr="00EB21DF">
        <w:rPr>
          <w:i/>
        </w:rPr>
        <w:t>Supported Residential Services (Private Proprietors) Act 2010</w:t>
      </w:r>
      <w:r w:rsidRPr="00EB21DF">
        <w:t xml:space="preserve"> (Vic)</w:t>
      </w:r>
      <w:r>
        <w:rPr>
          <w:lang w:val="en-US"/>
        </w:rPr>
        <w:t xml:space="preserve"> s 187.</w:t>
      </w:r>
    </w:p>
  </w:footnote>
  <w:footnote w:id="214">
    <w:p w14:paraId="6A2BED48" w14:textId="77777777" w:rsidR="00030303" w:rsidRPr="000D473E" w:rsidRDefault="00030303" w:rsidP="00030303">
      <w:pPr>
        <w:pStyle w:val="FootnoteText"/>
        <w:rPr>
          <w:lang w:val="en-US"/>
        </w:rPr>
      </w:pPr>
      <w:r>
        <w:rPr>
          <w:rStyle w:val="FootnoteReference"/>
        </w:rPr>
        <w:footnoteRef/>
      </w:r>
      <w:r>
        <w:t xml:space="preserve"> </w:t>
      </w:r>
      <w:r w:rsidRPr="00EB21DF">
        <w:rPr>
          <w:i/>
        </w:rPr>
        <w:t>Supported Residential Services (Private Proprietors) Act 2010</w:t>
      </w:r>
      <w:r w:rsidRPr="00EB21DF">
        <w:t xml:space="preserve"> (Vic)</w:t>
      </w:r>
      <w:r>
        <w:rPr>
          <w:lang w:val="en-US"/>
        </w:rPr>
        <w:t xml:space="preserve"> ss 188–190. </w:t>
      </w:r>
    </w:p>
  </w:footnote>
  <w:footnote w:id="215">
    <w:p w14:paraId="323AC6F6" w14:textId="77777777" w:rsidR="00030303" w:rsidRPr="00951DAB" w:rsidRDefault="00030303" w:rsidP="00030303">
      <w:pPr>
        <w:pStyle w:val="FootnoteText"/>
        <w:rPr>
          <w:lang w:val="en-US"/>
        </w:rPr>
      </w:pPr>
      <w:r>
        <w:rPr>
          <w:rStyle w:val="FootnoteReference"/>
        </w:rPr>
        <w:footnoteRef/>
      </w:r>
      <w:r w:rsidRPr="00EB21DF">
        <w:rPr>
          <w:i/>
        </w:rPr>
        <w:t>Supported Residential Services (Private Proprietors) Act 2010</w:t>
      </w:r>
      <w:r w:rsidRPr="00EB21DF">
        <w:t xml:space="preserve"> (Vic)</w:t>
      </w:r>
      <w:r>
        <w:rPr>
          <w:lang w:val="en-US"/>
        </w:rPr>
        <w:t xml:space="preserve"> ss 194-195.</w:t>
      </w:r>
    </w:p>
  </w:footnote>
  <w:footnote w:id="216">
    <w:p w14:paraId="13EFA31C" w14:textId="77777777" w:rsidR="00030303" w:rsidRPr="009E46F1" w:rsidRDefault="00030303" w:rsidP="00030303">
      <w:pPr>
        <w:pStyle w:val="FootnoteText"/>
        <w:rPr>
          <w:lang w:val="en-US"/>
        </w:rPr>
      </w:pPr>
      <w:r>
        <w:rPr>
          <w:rStyle w:val="FootnoteReference"/>
        </w:rPr>
        <w:footnoteRef/>
      </w:r>
      <w:r>
        <w:t xml:space="preserve"> </w:t>
      </w:r>
      <w:r>
        <w:rPr>
          <w:i/>
        </w:rPr>
        <w:t xml:space="preserve">Disability Act 2006 </w:t>
      </w:r>
      <w:r>
        <w:t xml:space="preserve">(Vic) ss 30, 30A. The definition of ‘short-term accommodation and assistance dwelling’ in s 3(1) excludes private homes. </w:t>
      </w:r>
    </w:p>
  </w:footnote>
  <w:footnote w:id="217">
    <w:p w14:paraId="6B51378B" w14:textId="77777777" w:rsidR="00030303" w:rsidRPr="00C10BA3" w:rsidRDefault="00030303" w:rsidP="00030303">
      <w:pPr>
        <w:pStyle w:val="FootnoteText"/>
        <w:rPr>
          <w:lang w:val="en-US"/>
        </w:rPr>
      </w:pPr>
      <w:r>
        <w:rPr>
          <w:rStyle w:val="FootnoteReference"/>
        </w:rPr>
        <w:footnoteRef/>
      </w:r>
      <w:r>
        <w:t xml:space="preserve"> </w:t>
      </w:r>
      <w:r>
        <w:rPr>
          <w:i/>
        </w:rPr>
        <w:t xml:space="preserve">Disability Act 2006 </w:t>
      </w:r>
      <w:r>
        <w:t>(Vic) ss 30, 30</w:t>
      </w:r>
      <w:proofErr w:type="gramStart"/>
      <w:r>
        <w:t>A(</w:t>
      </w:r>
      <w:proofErr w:type="gramEnd"/>
      <w:r>
        <w:t>1)-(3).</w:t>
      </w:r>
    </w:p>
  </w:footnote>
  <w:footnote w:id="218">
    <w:p w14:paraId="25CCCF8D" w14:textId="77777777" w:rsidR="00030303" w:rsidRPr="00780F3E" w:rsidRDefault="00030303" w:rsidP="00030303">
      <w:pPr>
        <w:pStyle w:val="FootnoteText"/>
        <w:rPr>
          <w:lang w:val="en-US"/>
        </w:rPr>
      </w:pPr>
      <w:r>
        <w:rPr>
          <w:rStyle w:val="FootnoteReference"/>
        </w:rPr>
        <w:footnoteRef/>
      </w:r>
      <w:r>
        <w:t xml:space="preserve"> </w:t>
      </w:r>
      <w:r>
        <w:rPr>
          <w:i/>
        </w:rPr>
        <w:t xml:space="preserve">Disability Act 2006 </w:t>
      </w:r>
      <w:r>
        <w:t xml:space="preserve">(Vic) s 32. </w:t>
      </w:r>
    </w:p>
  </w:footnote>
  <w:footnote w:id="219">
    <w:p w14:paraId="3D431809" w14:textId="77777777" w:rsidR="00030303" w:rsidRPr="00301B04" w:rsidRDefault="00030303" w:rsidP="00030303">
      <w:pPr>
        <w:pStyle w:val="FootnoteText"/>
        <w:rPr>
          <w:lang w:val="en-US"/>
        </w:rPr>
      </w:pPr>
      <w:r>
        <w:rPr>
          <w:rStyle w:val="FootnoteReference"/>
        </w:rPr>
        <w:footnoteRef/>
      </w:r>
      <w:r>
        <w:t xml:space="preserve"> </w:t>
      </w:r>
      <w:r>
        <w:rPr>
          <w:i/>
        </w:rPr>
        <w:t xml:space="preserve">Disability Act 2006 </w:t>
      </w:r>
      <w:r>
        <w:t>(Vic) s 33.</w:t>
      </w:r>
    </w:p>
  </w:footnote>
  <w:footnote w:id="220">
    <w:p w14:paraId="51FDD381" w14:textId="77777777" w:rsidR="00030303" w:rsidRDefault="00030303" w:rsidP="00030303">
      <w:pPr>
        <w:pStyle w:val="FootnoteText"/>
      </w:pPr>
      <w:r>
        <w:rPr>
          <w:rStyle w:val="FootnoteReference"/>
        </w:rPr>
        <w:footnoteRef/>
      </w:r>
      <w:r>
        <w:t xml:space="preserve"> </w:t>
      </w:r>
      <w:r w:rsidRPr="007954A7">
        <w:rPr>
          <w:i/>
        </w:rPr>
        <w:t>Mental Health Act 2014</w:t>
      </w:r>
      <w:r w:rsidRPr="007954A7">
        <w:t xml:space="preserve"> (WA)</w:t>
      </w:r>
      <w:r>
        <w:t xml:space="preserve"> Part 20.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7A3D2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15E2A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FF8BE4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EB2C00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E68CBA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56AAE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DC62E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624B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EC4E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73EF7A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46278E"/>
    <w:multiLevelType w:val="hybridMultilevel"/>
    <w:tmpl w:val="2F42736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12C1F6E"/>
    <w:multiLevelType w:val="hybridMultilevel"/>
    <w:tmpl w:val="0A1C4F9A"/>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 w15:restartNumberingAfterBreak="0">
    <w:nsid w:val="028D10F9"/>
    <w:multiLevelType w:val="multilevel"/>
    <w:tmpl w:val="7EEEFF44"/>
    <w:lvl w:ilvl="0">
      <w:start w:val="1"/>
      <w:numFmt w:val="none"/>
      <w:lvlRestart w:val="0"/>
      <w:pStyle w:val="IndentFull"/>
      <w:suff w:val="nothing"/>
      <w:lvlText w:val=""/>
      <w:lvlJc w:val="left"/>
      <w:pPr>
        <w:tabs>
          <w:tab w:val="num" w:pos="425"/>
        </w:tabs>
        <w:ind w:left="425" w:firstLine="0"/>
      </w:pPr>
    </w:lvl>
    <w:lvl w:ilvl="1">
      <w:start w:val="1"/>
      <w:numFmt w:val="none"/>
      <w:lvlRestart w:val="0"/>
      <w:pStyle w:val="IndentFull1"/>
      <w:suff w:val="nothing"/>
      <w:lvlText w:val=""/>
      <w:lvlJc w:val="left"/>
      <w:pPr>
        <w:tabs>
          <w:tab w:val="num" w:pos="425"/>
        </w:tabs>
        <w:ind w:left="425" w:firstLine="0"/>
      </w:pPr>
    </w:lvl>
    <w:lvl w:ilvl="2">
      <w:start w:val="1"/>
      <w:numFmt w:val="none"/>
      <w:lvlRestart w:val="0"/>
      <w:pStyle w:val="IndentFull2"/>
      <w:suff w:val="nothing"/>
      <w:lvlText w:val=""/>
      <w:lvlJc w:val="left"/>
      <w:pPr>
        <w:tabs>
          <w:tab w:val="num" w:pos="850"/>
        </w:tabs>
        <w:ind w:left="850" w:firstLine="0"/>
      </w:pPr>
    </w:lvl>
    <w:lvl w:ilvl="3">
      <w:start w:val="1"/>
      <w:numFmt w:val="none"/>
      <w:lvlRestart w:val="0"/>
      <w:pStyle w:val="IndentFull3"/>
      <w:suff w:val="nothing"/>
      <w:lvlText w:val=""/>
      <w:lvlJc w:val="left"/>
      <w:pPr>
        <w:tabs>
          <w:tab w:val="num" w:pos="1276"/>
        </w:tabs>
        <w:ind w:left="1276" w:firstLine="0"/>
      </w:pPr>
    </w:lvl>
    <w:lvl w:ilvl="4">
      <w:start w:val="1"/>
      <w:numFmt w:val="none"/>
      <w:lvlRestart w:val="0"/>
      <w:pStyle w:val="IndentFull4"/>
      <w:suff w:val="nothing"/>
      <w:lvlText w:val=""/>
      <w:lvlJc w:val="left"/>
      <w:pPr>
        <w:tabs>
          <w:tab w:val="num" w:pos="1701"/>
        </w:tabs>
        <w:ind w:left="1701" w:firstLine="0"/>
      </w:pPr>
    </w:lvl>
    <w:lvl w:ilvl="5">
      <w:start w:val="1"/>
      <w:numFmt w:val="none"/>
      <w:lvlRestart w:val="0"/>
      <w:pStyle w:val="IndentFull5"/>
      <w:suff w:val="nothing"/>
      <w:lvlText w:val=""/>
      <w:lvlJc w:val="left"/>
      <w:pPr>
        <w:tabs>
          <w:tab w:val="num" w:pos="2126"/>
        </w:tabs>
        <w:ind w:left="2126" w:firstLine="0"/>
      </w:pPr>
    </w:lvl>
    <w:lvl w:ilvl="6">
      <w:start w:val="1"/>
      <w:numFmt w:val="none"/>
      <w:lvlRestart w:val="0"/>
      <w:pStyle w:val="IndentFull6"/>
      <w:suff w:val="nothing"/>
      <w:lvlText w:val=""/>
      <w:lvlJc w:val="left"/>
      <w:pPr>
        <w:tabs>
          <w:tab w:val="num" w:pos="2551"/>
        </w:tabs>
        <w:ind w:left="2551" w:firstLine="0"/>
      </w:pPr>
    </w:lvl>
    <w:lvl w:ilvl="7">
      <w:start w:val="1"/>
      <w:numFmt w:val="none"/>
      <w:lvlRestart w:val="0"/>
      <w:pStyle w:val="IndentFull7"/>
      <w:suff w:val="nothing"/>
      <w:lvlText w:val=""/>
      <w:lvlJc w:val="left"/>
      <w:pPr>
        <w:tabs>
          <w:tab w:val="num" w:pos="2976"/>
        </w:tabs>
        <w:ind w:left="2976" w:firstLine="0"/>
      </w:pPr>
    </w:lvl>
    <w:lvl w:ilvl="8">
      <w:start w:val="1"/>
      <w:numFmt w:val="none"/>
      <w:lvlRestart w:val="0"/>
      <w:pStyle w:val="IndentFull8"/>
      <w:suff w:val="nothing"/>
      <w:lvlText w:val=""/>
      <w:lvlJc w:val="left"/>
      <w:pPr>
        <w:tabs>
          <w:tab w:val="num" w:pos="3402"/>
        </w:tabs>
        <w:ind w:left="3402" w:firstLine="0"/>
      </w:pPr>
    </w:lvl>
  </w:abstractNum>
  <w:abstractNum w:abstractNumId="13" w15:restartNumberingAfterBreak="0">
    <w:nsid w:val="05D57614"/>
    <w:multiLevelType w:val="multilevel"/>
    <w:tmpl w:val="56DEE0B4"/>
    <w:lvl w:ilvl="0">
      <w:start w:val="1"/>
      <w:numFmt w:val="decimal"/>
      <w:pStyle w:val="TableNumberLevel1"/>
      <w:lvlText w:val="%1."/>
      <w:lvlJc w:val="left"/>
      <w:pPr>
        <w:tabs>
          <w:tab w:val="num" w:pos="567"/>
        </w:tabs>
        <w:ind w:left="567" w:hanging="567"/>
      </w:pPr>
    </w:lvl>
    <w:lvl w:ilvl="1">
      <w:start w:val="1"/>
      <w:numFmt w:val="decimal"/>
      <w:pStyle w:val="TableNumberLevel2"/>
      <w:lvlText w:val="%1.%2."/>
      <w:lvlJc w:val="left"/>
      <w:pPr>
        <w:tabs>
          <w:tab w:val="num" w:pos="567"/>
        </w:tabs>
        <w:ind w:left="567" w:hanging="567"/>
      </w:pPr>
    </w:lvl>
    <w:lvl w:ilvl="2">
      <w:start w:val="1"/>
      <w:numFmt w:val="decimal"/>
      <w:pStyle w:val="TableNumberLevel3"/>
      <w:lvlText w:val="%1.%2.%3."/>
      <w:lvlJc w:val="left"/>
      <w:pPr>
        <w:tabs>
          <w:tab w:val="num" w:pos="567"/>
        </w:tabs>
        <w:ind w:left="567" w:hanging="567"/>
      </w:pPr>
    </w:lvl>
    <w:lvl w:ilvl="3">
      <w:start w:val="1"/>
      <w:numFmt w:val="lowerLetter"/>
      <w:pStyle w:val="TableNumberLevel4"/>
      <w:lvlText w:val="%4."/>
      <w:lvlJc w:val="left"/>
      <w:pPr>
        <w:tabs>
          <w:tab w:val="num" w:pos="850"/>
        </w:tabs>
        <w:ind w:left="850" w:hanging="283"/>
      </w:pPr>
    </w:lvl>
    <w:lvl w:ilvl="4">
      <w:start w:val="1"/>
      <w:numFmt w:val="bullet"/>
      <w:pStyle w:val="TableNumberLevel5"/>
      <w:lvlText w:val="–"/>
      <w:lvlJc w:val="left"/>
      <w:pPr>
        <w:tabs>
          <w:tab w:val="num" w:pos="1134"/>
        </w:tabs>
        <w:ind w:left="1134" w:hanging="284"/>
      </w:pPr>
      <w:rPr>
        <w:b w:val="0"/>
        <w:i w:val="0"/>
      </w:rPr>
    </w:lvl>
    <w:lvl w:ilvl="5">
      <w:start w:val="1"/>
      <w:numFmt w:val="bullet"/>
      <w:pStyle w:val="TableNumberLevel6"/>
      <w:lvlText w:val="–"/>
      <w:lvlJc w:val="left"/>
      <w:pPr>
        <w:tabs>
          <w:tab w:val="num" w:pos="1417"/>
        </w:tabs>
        <w:ind w:left="1417" w:hanging="283"/>
      </w:pPr>
      <w:rPr>
        <w:b w:val="0"/>
        <w:i w:val="0"/>
      </w:rPr>
    </w:lvl>
    <w:lvl w:ilvl="6">
      <w:start w:val="1"/>
      <w:numFmt w:val="bullet"/>
      <w:pStyle w:val="TableNumberLevel7"/>
      <w:lvlText w:val="–"/>
      <w:lvlJc w:val="left"/>
      <w:pPr>
        <w:tabs>
          <w:tab w:val="num" w:pos="1701"/>
        </w:tabs>
        <w:ind w:left="1701" w:hanging="284"/>
      </w:pPr>
      <w:rPr>
        <w:b w:val="0"/>
        <w:i w:val="0"/>
      </w:rPr>
    </w:lvl>
    <w:lvl w:ilvl="7">
      <w:start w:val="1"/>
      <w:numFmt w:val="bullet"/>
      <w:pStyle w:val="TableNumberLevel8"/>
      <w:lvlText w:val="–"/>
      <w:lvlJc w:val="left"/>
      <w:pPr>
        <w:tabs>
          <w:tab w:val="num" w:pos="1984"/>
        </w:tabs>
        <w:ind w:left="1984" w:hanging="283"/>
      </w:pPr>
      <w:rPr>
        <w:b w:val="0"/>
        <w:i w:val="0"/>
      </w:rPr>
    </w:lvl>
    <w:lvl w:ilvl="8">
      <w:start w:val="1"/>
      <w:numFmt w:val="bullet"/>
      <w:pStyle w:val="TableNumberLevel9"/>
      <w:lvlText w:val="–"/>
      <w:lvlJc w:val="left"/>
      <w:pPr>
        <w:tabs>
          <w:tab w:val="num" w:pos="2268"/>
        </w:tabs>
        <w:ind w:left="2268" w:hanging="284"/>
      </w:pPr>
      <w:rPr>
        <w:b w:val="0"/>
        <w:i w:val="0"/>
      </w:rPr>
    </w:lvl>
  </w:abstractNum>
  <w:abstractNum w:abstractNumId="14" w15:restartNumberingAfterBreak="0">
    <w:nsid w:val="0AC14150"/>
    <w:multiLevelType w:val="multilevel"/>
    <w:tmpl w:val="FF12F8B4"/>
    <w:lvl w:ilvl="0">
      <w:start w:val="1"/>
      <w:numFmt w:val="lowerLetter"/>
      <w:pStyle w:val="TableNumberedLista"/>
      <w:lvlText w:val="%1)"/>
      <w:lvlJc w:val="left"/>
      <w:pPr>
        <w:tabs>
          <w:tab w:val="num" w:pos="283"/>
        </w:tabs>
        <w:ind w:left="283" w:hanging="283"/>
      </w:pPr>
    </w:lvl>
    <w:lvl w:ilvl="1">
      <w:start w:val="1"/>
      <w:numFmt w:val="lowerLetter"/>
      <w:pStyle w:val="TableNumberedLista1"/>
      <w:lvlText w:val="%2)"/>
      <w:lvlJc w:val="left"/>
      <w:pPr>
        <w:tabs>
          <w:tab w:val="num" w:pos="283"/>
        </w:tabs>
        <w:ind w:left="283" w:hanging="283"/>
      </w:pPr>
    </w:lvl>
    <w:lvl w:ilvl="2">
      <w:start w:val="1"/>
      <w:numFmt w:val="lowerLetter"/>
      <w:pStyle w:val="TableNumberedLista2"/>
      <w:lvlText w:val="%3)"/>
      <w:lvlJc w:val="left"/>
      <w:pPr>
        <w:tabs>
          <w:tab w:val="num" w:pos="567"/>
        </w:tabs>
        <w:ind w:left="567" w:hanging="284"/>
      </w:pPr>
    </w:lvl>
    <w:lvl w:ilvl="3">
      <w:start w:val="1"/>
      <w:numFmt w:val="lowerLetter"/>
      <w:pStyle w:val="TableNumberedLista3"/>
      <w:lvlText w:val="%4)"/>
      <w:lvlJc w:val="left"/>
      <w:pPr>
        <w:tabs>
          <w:tab w:val="num" w:pos="850"/>
        </w:tabs>
        <w:ind w:left="850" w:hanging="283"/>
      </w:pPr>
    </w:lvl>
    <w:lvl w:ilvl="4">
      <w:start w:val="1"/>
      <w:numFmt w:val="lowerLetter"/>
      <w:pStyle w:val="TableNumberedLista4"/>
      <w:lvlText w:val="%5)"/>
      <w:lvlJc w:val="left"/>
      <w:pPr>
        <w:tabs>
          <w:tab w:val="num" w:pos="1134"/>
        </w:tabs>
        <w:ind w:left="1134" w:hanging="284"/>
      </w:pPr>
    </w:lvl>
    <w:lvl w:ilvl="5">
      <w:start w:val="1"/>
      <w:numFmt w:val="lowerLetter"/>
      <w:pStyle w:val="TableNumberedLista5"/>
      <w:lvlText w:val="%6)"/>
      <w:lvlJc w:val="left"/>
      <w:pPr>
        <w:tabs>
          <w:tab w:val="num" w:pos="1417"/>
        </w:tabs>
        <w:ind w:left="1417" w:hanging="283"/>
      </w:pPr>
    </w:lvl>
    <w:lvl w:ilvl="6">
      <w:start w:val="1"/>
      <w:numFmt w:val="lowerLetter"/>
      <w:pStyle w:val="TableNumberedLista6"/>
      <w:lvlText w:val="%7)"/>
      <w:lvlJc w:val="left"/>
      <w:pPr>
        <w:tabs>
          <w:tab w:val="num" w:pos="1701"/>
        </w:tabs>
        <w:ind w:left="1701" w:hanging="284"/>
      </w:pPr>
    </w:lvl>
    <w:lvl w:ilvl="7">
      <w:start w:val="1"/>
      <w:numFmt w:val="lowerLetter"/>
      <w:pStyle w:val="TableNumberedLista7"/>
      <w:lvlText w:val="%8)"/>
      <w:lvlJc w:val="left"/>
      <w:pPr>
        <w:tabs>
          <w:tab w:val="num" w:pos="1984"/>
        </w:tabs>
        <w:ind w:left="1984" w:hanging="283"/>
      </w:pPr>
    </w:lvl>
    <w:lvl w:ilvl="8">
      <w:start w:val="1"/>
      <w:numFmt w:val="lowerLetter"/>
      <w:pStyle w:val="TableNumberedLista8"/>
      <w:lvlText w:val="%9)"/>
      <w:lvlJc w:val="left"/>
      <w:pPr>
        <w:tabs>
          <w:tab w:val="num" w:pos="2268"/>
        </w:tabs>
        <w:ind w:left="2268" w:hanging="284"/>
      </w:pPr>
    </w:lvl>
  </w:abstractNum>
  <w:abstractNum w:abstractNumId="15" w15:restartNumberingAfterBreak="0">
    <w:nsid w:val="0D4253AD"/>
    <w:multiLevelType w:val="multilevel"/>
    <w:tmpl w:val="252676A4"/>
    <w:lvl w:ilvl="0">
      <w:start w:val="1"/>
      <w:numFmt w:val="none"/>
      <w:lvlRestart w:val="0"/>
      <w:pStyle w:val="TableIndentFull"/>
      <w:suff w:val="nothing"/>
      <w:lvlText w:val=""/>
      <w:lvlJc w:val="left"/>
      <w:pPr>
        <w:tabs>
          <w:tab w:val="num" w:pos="283"/>
        </w:tabs>
        <w:ind w:left="283" w:firstLine="0"/>
      </w:pPr>
    </w:lvl>
    <w:lvl w:ilvl="1">
      <w:start w:val="1"/>
      <w:numFmt w:val="none"/>
      <w:lvlRestart w:val="0"/>
      <w:pStyle w:val="TableIndentFull1"/>
      <w:suff w:val="nothing"/>
      <w:lvlText w:val=""/>
      <w:lvlJc w:val="left"/>
      <w:pPr>
        <w:tabs>
          <w:tab w:val="num" w:pos="283"/>
        </w:tabs>
        <w:ind w:left="283" w:firstLine="0"/>
      </w:pPr>
    </w:lvl>
    <w:lvl w:ilvl="2">
      <w:start w:val="1"/>
      <w:numFmt w:val="none"/>
      <w:lvlRestart w:val="0"/>
      <w:pStyle w:val="TableIndentFull2"/>
      <w:suff w:val="nothing"/>
      <w:lvlText w:val=""/>
      <w:lvlJc w:val="left"/>
      <w:pPr>
        <w:tabs>
          <w:tab w:val="num" w:pos="567"/>
        </w:tabs>
        <w:ind w:left="567" w:firstLine="0"/>
      </w:pPr>
    </w:lvl>
    <w:lvl w:ilvl="3">
      <w:start w:val="1"/>
      <w:numFmt w:val="none"/>
      <w:lvlRestart w:val="0"/>
      <w:pStyle w:val="TableIndentFull3"/>
      <w:suff w:val="nothing"/>
      <w:lvlText w:val=""/>
      <w:lvlJc w:val="left"/>
      <w:pPr>
        <w:tabs>
          <w:tab w:val="num" w:pos="850"/>
        </w:tabs>
        <w:ind w:left="850" w:firstLine="0"/>
      </w:pPr>
    </w:lvl>
    <w:lvl w:ilvl="4">
      <w:start w:val="1"/>
      <w:numFmt w:val="none"/>
      <w:lvlRestart w:val="0"/>
      <w:pStyle w:val="TableIndentFull4"/>
      <w:suff w:val="nothing"/>
      <w:lvlText w:val=""/>
      <w:lvlJc w:val="left"/>
      <w:pPr>
        <w:tabs>
          <w:tab w:val="num" w:pos="1134"/>
        </w:tabs>
        <w:ind w:left="1134" w:firstLine="0"/>
      </w:pPr>
    </w:lvl>
    <w:lvl w:ilvl="5">
      <w:start w:val="1"/>
      <w:numFmt w:val="none"/>
      <w:lvlRestart w:val="0"/>
      <w:pStyle w:val="TableIndentFull5"/>
      <w:suff w:val="nothing"/>
      <w:lvlText w:val=""/>
      <w:lvlJc w:val="left"/>
      <w:pPr>
        <w:tabs>
          <w:tab w:val="num" w:pos="1417"/>
        </w:tabs>
        <w:ind w:left="1417" w:firstLine="0"/>
      </w:pPr>
    </w:lvl>
    <w:lvl w:ilvl="6">
      <w:start w:val="1"/>
      <w:numFmt w:val="none"/>
      <w:lvlRestart w:val="0"/>
      <w:pStyle w:val="TableIndentFull6"/>
      <w:suff w:val="nothing"/>
      <w:lvlText w:val=""/>
      <w:lvlJc w:val="left"/>
      <w:pPr>
        <w:tabs>
          <w:tab w:val="num" w:pos="1701"/>
        </w:tabs>
        <w:ind w:left="1701" w:firstLine="0"/>
      </w:pPr>
    </w:lvl>
    <w:lvl w:ilvl="7">
      <w:start w:val="1"/>
      <w:numFmt w:val="none"/>
      <w:lvlRestart w:val="0"/>
      <w:pStyle w:val="TableIndentFull7"/>
      <w:suff w:val="nothing"/>
      <w:lvlText w:val=""/>
      <w:lvlJc w:val="left"/>
      <w:pPr>
        <w:tabs>
          <w:tab w:val="num" w:pos="1984"/>
        </w:tabs>
        <w:ind w:left="1984" w:firstLine="0"/>
      </w:pPr>
    </w:lvl>
    <w:lvl w:ilvl="8">
      <w:start w:val="1"/>
      <w:numFmt w:val="none"/>
      <w:lvlRestart w:val="0"/>
      <w:pStyle w:val="TableIndentFull8"/>
      <w:suff w:val="nothing"/>
      <w:lvlText w:val=""/>
      <w:lvlJc w:val="left"/>
      <w:pPr>
        <w:tabs>
          <w:tab w:val="num" w:pos="2268"/>
        </w:tabs>
        <w:ind w:left="2268" w:firstLine="0"/>
      </w:pPr>
    </w:lvl>
  </w:abstractNum>
  <w:abstractNum w:abstractNumId="16" w15:restartNumberingAfterBreak="0">
    <w:nsid w:val="0D442B7F"/>
    <w:multiLevelType w:val="multilevel"/>
    <w:tmpl w:val="481CD816"/>
    <w:lvl w:ilvl="0">
      <w:start w:val="1"/>
      <w:numFmt w:val="decimal"/>
      <w:pStyle w:val="NumberedList1"/>
      <w:lvlText w:val="%1)"/>
      <w:lvlJc w:val="left"/>
      <w:pPr>
        <w:tabs>
          <w:tab w:val="num" w:pos="850"/>
        </w:tabs>
        <w:ind w:left="850" w:hanging="425"/>
      </w:pPr>
    </w:lvl>
    <w:lvl w:ilvl="1">
      <w:start w:val="1"/>
      <w:numFmt w:val="decimal"/>
      <w:pStyle w:val="NumberedList11"/>
      <w:lvlText w:val="%2)"/>
      <w:lvlJc w:val="left"/>
      <w:pPr>
        <w:tabs>
          <w:tab w:val="num" w:pos="850"/>
        </w:tabs>
        <w:ind w:left="850" w:hanging="425"/>
      </w:pPr>
    </w:lvl>
    <w:lvl w:ilvl="2">
      <w:start w:val="1"/>
      <w:numFmt w:val="decimal"/>
      <w:pStyle w:val="NumberedList12"/>
      <w:lvlText w:val="%3)"/>
      <w:lvlJc w:val="left"/>
      <w:pPr>
        <w:tabs>
          <w:tab w:val="num" w:pos="1276"/>
        </w:tabs>
        <w:ind w:left="1276" w:hanging="426"/>
      </w:pPr>
    </w:lvl>
    <w:lvl w:ilvl="3">
      <w:start w:val="1"/>
      <w:numFmt w:val="decimal"/>
      <w:pStyle w:val="NumberedList13"/>
      <w:lvlText w:val="%4)"/>
      <w:lvlJc w:val="left"/>
      <w:pPr>
        <w:tabs>
          <w:tab w:val="num" w:pos="1701"/>
        </w:tabs>
        <w:ind w:left="1701" w:hanging="425"/>
      </w:pPr>
    </w:lvl>
    <w:lvl w:ilvl="4">
      <w:start w:val="1"/>
      <w:numFmt w:val="decimal"/>
      <w:pStyle w:val="NumberedList14"/>
      <w:lvlText w:val="%5)"/>
      <w:lvlJc w:val="left"/>
      <w:pPr>
        <w:tabs>
          <w:tab w:val="num" w:pos="2126"/>
        </w:tabs>
        <w:ind w:left="2126" w:hanging="425"/>
      </w:pPr>
    </w:lvl>
    <w:lvl w:ilvl="5">
      <w:start w:val="1"/>
      <w:numFmt w:val="decimal"/>
      <w:pStyle w:val="NumberedList15"/>
      <w:lvlText w:val="%6)"/>
      <w:lvlJc w:val="left"/>
      <w:pPr>
        <w:tabs>
          <w:tab w:val="num" w:pos="2551"/>
        </w:tabs>
        <w:ind w:left="2551" w:hanging="425"/>
      </w:pPr>
    </w:lvl>
    <w:lvl w:ilvl="6">
      <w:start w:val="1"/>
      <w:numFmt w:val="decimal"/>
      <w:pStyle w:val="NumberedList16"/>
      <w:lvlText w:val="%7)"/>
      <w:lvlJc w:val="left"/>
      <w:pPr>
        <w:tabs>
          <w:tab w:val="num" w:pos="2976"/>
        </w:tabs>
        <w:ind w:left="2976" w:hanging="425"/>
      </w:pPr>
    </w:lvl>
    <w:lvl w:ilvl="7">
      <w:start w:val="1"/>
      <w:numFmt w:val="decimal"/>
      <w:pStyle w:val="NumberedList17"/>
      <w:lvlText w:val="%8)"/>
      <w:lvlJc w:val="left"/>
      <w:pPr>
        <w:tabs>
          <w:tab w:val="num" w:pos="3402"/>
        </w:tabs>
        <w:ind w:left="3402" w:hanging="426"/>
      </w:pPr>
    </w:lvl>
    <w:lvl w:ilvl="8">
      <w:start w:val="1"/>
      <w:numFmt w:val="decimal"/>
      <w:pStyle w:val="NumberedList18"/>
      <w:lvlText w:val="%9)"/>
      <w:lvlJc w:val="left"/>
      <w:pPr>
        <w:tabs>
          <w:tab w:val="num" w:pos="3827"/>
        </w:tabs>
        <w:ind w:left="3827" w:hanging="425"/>
      </w:pPr>
    </w:lvl>
  </w:abstractNum>
  <w:abstractNum w:abstractNumId="17" w15:restartNumberingAfterBreak="0">
    <w:nsid w:val="0E4A65F1"/>
    <w:multiLevelType w:val="hybridMultilevel"/>
    <w:tmpl w:val="39E807FA"/>
    <w:lvl w:ilvl="0" w:tplc="79D68842">
      <w:start w:val="1"/>
      <w:numFmt w:val="bullet"/>
      <w:suff w:val="space"/>
      <w:lvlText w:val=""/>
      <w:lvlJc w:val="left"/>
      <w:pPr>
        <w:ind w:left="170" w:hanging="170"/>
      </w:pPr>
      <w:rPr>
        <w:rFonts w:ascii="Symbol" w:hAnsi="Symbol" w:hint="default"/>
      </w:rPr>
    </w:lvl>
    <w:lvl w:ilvl="1" w:tplc="F25E8B5E">
      <w:start w:val="1"/>
      <w:numFmt w:val="bullet"/>
      <w:suff w:val="space"/>
      <w:lvlText w:val="o"/>
      <w:lvlJc w:val="left"/>
      <w:pPr>
        <w:ind w:left="567" w:hanging="340"/>
      </w:pPr>
      <w:rPr>
        <w:rFonts w:ascii="Courier New" w:hAnsi="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8" w15:restartNumberingAfterBreak="0">
    <w:nsid w:val="145124D5"/>
    <w:multiLevelType w:val="hybridMultilevel"/>
    <w:tmpl w:val="7F4AAE18"/>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18327664"/>
    <w:multiLevelType w:val="multilevel"/>
    <w:tmpl w:val="59405AF6"/>
    <w:lvl w:ilvl="0">
      <w:start w:val="1"/>
      <w:numFmt w:val="decimal"/>
      <w:pStyle w:val="NumberLevel1"/>
      <w:lvlText w:val="%1."/>
      <w:lvlJc w:val="left"/>
      <w:pPr>
        <w:tabs>
          <w:tab w:val="num" w:pos="709"/>
        </w:tabs>
        <w:ind w:left="0" w:hanging="709"/>
      </w:pPr>
      <w:rPr>
        <w:rFonts w:hint="default"/>
        <w:sz w:val="20"/>
      </w:rPr>
    </w:lvl>
    <w:lvl w:ilvl="1">
      <w:start w:val="1"/>
      <w:numFmt w:val="decimal"/>
      <w:pStyle w:val="NumberLevel2"/>
      <w:lvlText w:val="%1.%2."/>
      <w:lvlJc w:val="left"/>
      <w:pPr>
        <w:tabs>
          <w:tab w:val="num" w:pos="709"/>
        </w:tabs>
        <w:ind w:left="0" w:hanging="709"/>
      </w:pPr>
      <w:rPr>
        <w:rFonts w:hint="default"/>
        <w:sz w:val="20"/>
      </w:rPr>
    </w:lvl>
    <w:lvl w:ilvl="2">
      <w:start w:val="1"/>
      <w:numFmt w:val="decimal"/>
      <w:pStyle w:val="NumberLevel3"/>
      <w:lvlText w:val="%1.%2.%3."/>
      <w:lvlJc w:val="left"/>
      <w:pPr>
        <w:tabs>
          <w:tab w:val="num" w:pos="709"/>
        </w:tabs>
        <w:ind w:left="0" w:hanging="709"/>
      </w:pPr>
      <w:rPr>
        <w:rFonts w:hint="default"/>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suff w:val="space"/>
      <w:lvlText w:val=""/>
      <w:lvlJc w:val="left"/>
      <w:pPr>
        <w:ind w:left="227" w:hanging="227"/>
      </w:pPr>
      <w:rPr>
        <w:rFonts w:ascii="Symbol" w:hAnsi="Symbol" w:hint="default"/>
        <w:b w:val="0"/>
        <w:i w:val="0"/>
        <w:color w:val="auto"/>
      </w:rPr>
    </w:lvl>
    <w:lvl w:ilvl="5">
      <w:start w:val="1"/>
      <w:numFmt w:val="bullet"/>
      <w:pStyle w:val="NumberLevel6"/>
      <w:suff w:val="space"/>
      <w:lvlText w:val="–"/>
      <w:lvlJc w:val="left"/>
      <w:pPr>
        <w:ind w:left="567" w:hanging="227"/>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20" w15:restartNumberingAfterBreak="0">
    <w:nsid w:val="18814203"/>
    <w:multiLevelType w:val="hybridMultilevel"/>
    <w:tmpl w:val="80604FF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19EA668E"/>
    <w:multiLevelType w:val="hybridMultilevel"/>
    <w:tmpl w:val="462A3392"/>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2" w15:restartNumberingAfterBreak="0">
    <w:nsid w:val="1CFF2C77"/>
    <w:multiLevelType w:val="hybridMultilevel"/>
    <w:tmpl w:val="FD4AB6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1DB261E0"/>
    <w:multiLevelType w:val="multilevel"/>
    <w:tmpl w:val="831A1FD8"/>
    <w:lvl w:ilvl="0">
      <w:start w:val="1"/>
      <w:numFmt w:val="bullet"/>
      <w:suff w:val="space"/>
      <w:lvlText w:val=""/>
      <w:lvlJc w:val="left"/>
      <w:pPr>
        <w:ind w:left="0" w:firstLine="0"/>
      </w:pPr>
      <w:rPr>
        <w:rFonts w:ascii="Symbol" w:hAnsi="Symbol" w:hint="default"/>
        <w:i w:val="0"/>
        <w:color w:val="auto"/>
        <w:sz w:val="20"/>
      </w:rPr>
    </w:lvl>
    <w:lvl w:ilvl="1">
      <w:start w:val="1"/>
      <w:numFmt w:val="decimal"/>
      <w:lvlText w:val="%1.%2."/>
      <w:lvlJc w:val="left"/>
      <w:pPr>
        <w:tabs>
          <w:tab w:val="num" w:pos="709"/>
        </w:tabs>
        <w:ind w:left="0" w:hanging="709"/>
      </w:pPr>
      <w:rPr>
        <w:rFonts w:hint="default"/>
        <w:sz w:val="20"/>
      </w:rPr>
    </w:lvl>
    <w:lvl w:ilvl="2">
      <w:start w:val="1"/>
      <w:numFmt w:val="decimal"/>
      <w:lvlText w:val="%1.%2.%3."/>
      <w:lvlJc w:val="left"/>
      <w:pPr>
        <w:tabs>
          <w:tab w:val="num" w:pos="709"/>
        </w:tabs>
        <w:ind w:left="0" w:hanging="709"/>
      </w:pPr>
      <w:rPr>
        <w:rFonts w:hint="default"/>
        <w:sz w:val="20"/>
      </w:rPr>
    </w:lvl>
    <w:lvl w:ilvl="3">
      <w:start w:val="1"/>
      <w:numFmt w:val="lowerLetter"/>
      <w:lvlText w:val="%4."/>
      <w:lvlJc w:val="left"/>
      <w:pPr>
        <w:tabs>
          <w:tab w:val="num" w:pos="709"/>
        </w:tabs>
        <w:ind w:left="425" w:hanging="425"/>
      </w:pPr>
      <w:rPr>
        <w:rFonts w:hint="default"/>
      </w:rPr>
    </w:lvl>
    <w:lvl w:ilvl="4">
      <w:start w:val="1"/>
      <w:numFmt w:val="bullet"/>
      <w:lvlText w:val=""/>
      <w:lvlJc w:val="left"/>
      <w:pPr>
        <w:tabs>
          <w:tab w:val="num" w:pos="709"/>
        </w:tabs>
        <w:ind w:left="425" w:hanging="425"/>
      </w:pPr>
      <w:rPr>
        <w:rFonts w:ascii="Symbol" w:hAnsi="Symbol" w:hint="default"/>
        <w:b w:val="0"/>
        <w:i w:val="0"/>
        <w:color w:val="auto"/>
      </w:rPr>
    </w:lvl>
    <w:lvl w:ilvl="5">
      <w:start w:val="1"/>
      <w:numFmt w:val="bullet"/>
      <w:lvlText w:val="–"/>
      <w:lvlJc w:val="left"/>
      <w:pPr>
        <w:tabs>
          <w:tab w:val="num" w:pos="1418"/>
        </w:tabs>
        <w:ind w:left="851" w:hanging="426"/>
      </w:pPr>
      <w:rPr>
        <w:rFonts w:hint="default"/>
        <w:b w:val="0"/>
        <w:i w:val="0"/>
      </w:rPr>
    </w:lvl>
    <w:lvl w:ilvl="6">
      <w:start w:val="1"/>
      <w:numFmt w:val="bullet"/>
      <w:lvlText w:val="–"/>
      <w:lvlJc w:val="left"/>
      <w:pPr>
        <w:tabs>
          <w:tab w:val="num" w:pos="1843"/>
        </w:tabs>
        <w:ind w:left="1276" w:hanging="425"/>
      </w:pPr>
      <w:rPr>
        <w:rFonts w:hint="default"/>
        <w:b w:val="0"/>
        <w:i w:val="0"/>
      </w:rPr>
    </w:lvl>
    <w:lvl w:ilvl="7">
      <w:start w:val="1"/>
      <w:numFmt w:val="bullet"/>
      <w:lvlText w:val="–"/>
      <w:lvlJc w:val="left"/>
      <w:pPr>
        <w:tabs>
          <w:tab w:val="num" w:pos="2410"/>
        </w:tabs>
        <w:ind w:left="1701" w:hanging="425"/>
      </w:pPr>
      <w:rPr>
        <w:rFonts w:hint="default"/>
        <w:b w:val="0"/>
        <w:i w:val="0"/>
      </w:rPr>
    </w:lvl>
    <w:lvl w:ilvl="8">
      <w:start w:val="1"/>
      <w:numFmt w:val="bullet"/>
      <w:lvlText w:val="–"/>
      <w:lvlJc w:val="left"/>
      <w:pPr>
        <w:tabs>
          <w:tab w:val="num" w:pos="2835"/>
        </w:tabs>
        <w:ind w:left="2126" w:hanging="425"/>
      </w:pPr>
      <w:rPr>
        <w:rFonts w:hint="default"/>
        <w:b w:val="0"/>
        <w:i w:val="0"/>
      </w:rPr>
    </w:lvl>
  </w:abstractNum>
  <w:abstractNum w:abstractNumId="24" w15:restartNumberingAfterBreak="0">
    <w:nsid w:val="1ECC33A9"/>
    <w:multiLevelType w:val="multilevel"/>
    <w:tmpl w:val="C32E5AAE"/>
    <w:lvl w:ilvl="0">
      <w:start w:val="1"/>
      <w:numFmt w:val="decimal"/>
      <w:pStyle w:val="TableNumberedList1"/>
      <w:lvlText w:val="%1)"/>
      <w:lvlJc w:val="left"/>
      <w:pPr>
        <w:tabs>
          <w:tab w:val="num" w:pos="283"/>
        </w:tabs>
        <w:ind w:left="283" w:hanging="283"/>
      </w:pPr>
    </w:lvl>
    <w:lvl w:ilvl="1">
      <w:start w:val="1"/>
      <w:numFmt w:val="decimal"/>
      <w:pStyle w:val="TableNumberedList11"/>
      <w:lvlText w:val="%2)"/>
      <w:lvlJc w:val="left"/>
      <w:pPr>
        <w:tabs>
          <w:tab w:val="num" w:pos="283"/>
        </w:tabs>
        <w:ind w:left="283" w:hanging="283"/>
      </w:pPr>
    </w:lvl>
    <w:lvl w:ilvl="2">
      <w:start w:val="1"/>
      <w:numFmt w:val="decimal"/>
      <w:pStyle w:val="TableNumberedList12"/>
      <w:lvlText w:val="%3)"/>
      <w:lvlJc w:val="left"/>
      <w:pPr>
        <w:tabs>
          <w:tab w:val="num" w:pos="567"/>
        </w:tabs>
        <w:ind w:left="567" w:hanging="284"/>
      </w:pPr>
    </w:lvl>
    <w:lvl w:ilvl="3">
      <w:start w:val="1"/>
      <w:numFmt w:val="decimal"/>
      <w:pStyle w:val="TableNumberedList13"/>
      <w:lvlText w:val="%4)"/>
      <w:lvlJc w:val="left"/>
      <w:pPr>
        <w:tabs>
          <w:tab w:val="num" w:pos="850"/>
        </w:tabs>
        <w:ind w:left="850" w:hanging="283"/>
      </w:pPr>
    </w:lvl>
    <w:lvl w:ilvl="4">
      <w:start w:val="1"/>
      <w:numFmt w:val="decimal"/>
      <w:pStyle w:val="TableNumberedList14"/>
      <w:lvlText w:val="%5)"/>
      <w:lvlJc w:val="left"/>
      <w:pPr>
        <w:tabs>
          <w:tab w:val="num" w:pos="1134"/>
        </w:tabs>
        <w:ind w:left="1134" w:hanging="284"/>
      </w:pPr>
    </w:lvl>
    <w:lvl w:ilvl="5">
      <w:start w:val="1"/>
      <w:numFmt w:val="decimal"/>
      <w:pStyle w:val="TableNumberedList15"/>
      <w:lvlText w:val="%6)"/>
      <w:lvlJc w:val="left"/>
      <w:pPr>
        <w:tabs>
          <w:tab w:val="num" w:pos="1417"/>
        </w:tabs>
        <w:ind w:left="1417" w:hanging="283"/>
      </w:pPr>
    </w:lvl>
    <w:lvl w:ilvl="6">
      <w:start w:val="1"/>
      <w:numFmt w:val="decimal"/>
      <w:pStyle w:val="TableNumberedList16"/>
      <w:lvlText w:val="%7)"/>
      <w:lvlJc w:val="left"/>
      <w:pPr>
        <w:tabs>
          <w:tab w:val="num" w:pos="1701"/>
        </w:tabs>
        <w:ind w:left="1701" w:hanging="284"/>
      </w:pPr>
    </w:lvl>
    <w:lvl w:ilvl="7">
      <w:start w:val="1"/>
      <w:numFmt w:val="decimal"/>
      <w:pStyle w:val="TableNumberedList17"/>
      <w:lvlText w:val="%8)"/>
      <w:lvlJc w:val="left"/>
      <w:pPr>
        <w:tabs>
          <w:tab w:val="num" w:pos="1984"/>
        </w:tabs>
        <w:ind w:left="1984" w:hanging="283"/>
      </w:pPr>
    </w:lvl>
    <w:lvl w:ilvl="8">
      <w:start w:val="1"/>
      <w:numFmt w:val="decimal"/>
      <w:pStyle w:val="TableNumberedList18"/>
      <w:lvlText w:val="%9)"/>
      <w:lvlJc w:val="left"/>
      <w:pPr>
        <w:tabs>
          <w:tab w:val="num" w:pos="2268"/>
        </w:tabs>
        <w:ind w:left="2268" w:hanging="284"/>
      </w:pPr>
    </w:lvl>
  </w:abstractNum>
  <w:abstractNum w:abstractNumId="25" w15:restartNumberingAfterBreak="0">
    <w:nsid w:val="21310B71"/>
    <w:multiLevelType w:val="multilevel"/>
    <w:tmpl w:val="7CF40368"/>
    <w:lvl w:ilvl="0">
      <w:start w:val="1"/>
      <w:numFmt w:val="bullet"/>
      <w:pStyle w:val="TableDot"/>
      <w:lvlText w:val=""/>
      <w:lvlJc w:val="left"/>
      <w:pPr>
        <w:tabs>
          <w:tab w:val="num" w:pos="283"/>
        </w:tabs>
        <w:ind w:left="283" w:hanging="283"/>
      </w:pPr>
      <w:rPr>
        <w:rFonts w:ascii="Symbol" w:hAnsi="Symbol" w:hint="default"/>
        <w:b/>
        <w:i w:val="0"/>
        <w:color w:val="auto"/>
      </w:rPr>
    </w:lvl>
    <w:lvl w:ilvl="1">
      <w:start w:val="1"/>
      <w:numFmt w:val="bullet"/>
      <w:pStyle w:val="TableDot1"/>
      <w:lvlText w:val=""/>
      <w:lvlJc w:val="left"/>
      <w:pPr>
        <w:tabs>
          <w:tab w:val="num" w:pos="283"/>
        </w:tabs>
        <w:ind w:left="283" w:hanging="283"/>
      </w:pPr>
      <w:rPr>
        <w:rFonts w:ascii="Symbol" w:hAnsi="Symbol" w:hint="default"/>
        <w:b/>
        <w:i w:val="0"/>
        <w:color w:val="auto"/>
      </w:rPr>
    </w:lvl>
    <w:lvl w:ilvl="2">
      <w:start w:val="1"/>
      <w:numFmt w:val="bullet"/>
      <w:pStyle w:val="TableDashEn1"/>
      <w:lvlText w:val="–"/>
      <w:lvlJc w:val="left"/>
      <w:pPr>
        <w:tabs>
          <w:tab w:val="num" w:pos="567"/>
        </w:tabs>
        <w:ind w:left="567" w:hanging="284"/>
      </w:pPr>
      <w:rPr>
        <w:rFonts w:hint="default"/>
        <w:b w:val="0"/>
        <w:i w:val="0"/>
      </w:rPr>
    </w:lvl>
    <w:lvl w:ilvl="3">
      <w:start w:val="1"/>
      <w:numFmt w:val="bullet"/>
      <w:pStyle w:val="TableDashEn2"/>
      <w:lvlText w:val="–"/>
      <w:lvlJc w:val="left"/>
      <w:pPr>
        <w:tabs>
          <w:tab w:val="num" w:pos="1134"/>
        </w:tabs>
        <w:ind w:left="1134" w:hanging="284"/>
      </w:pPr>
      <w:rPr>
        <w:rFonts w:hint="default"/>
        <w:b w:val="0"/>
        <w:i w:val="0"/>
      </w:rPr>
    </w:lvl>
    <w:lvl w:ilvl="4">
      <w:start w:val="1"/>
      <w:numFmt w:val="bullet"/>
      <w:pStyle w:val="TableDashEn3"/>
      <w:lvlText w:val="–"/>
      <w:lvlJc w:val="left"/>
      <w:pPr>
        <w:tabs>
          <w:tab w:val="num" w:pos="1417"/>
        </w:tabs>
        <w:ind w:left="1417" w:hanging="283"/>
      </w:pPr>
      <w:rPr>
        <w:rFonts w:hint="default"/>
        <w:b w:val="0"/>
        <w:i w:val="0"/>
      </w:rPr>
    </w:lvl>
    <w:lvl w:ilvl="5">
      <w:start w:val="1"/>
      <w:numFmt w:val="bullet"/>
      <w:pStyle w:val="TableDashEn4"/>
      <w:lvlText w:val="–"/>
      <w:lvlJc w:val="left"/>
      <w:pPr>
        <w:tabs>
          <w:tab w:val="num" w:pos="1701"/>
        </w:tabs>
        <w:ind w:left="1701" w:hanging="284"/>
      </w:pPr>
      <w:rPr>
        <w:rFonts w:hint="default"/>
        <w:b w:val="0"/>
        <w:i w:val="0"/>
      </w:rPr>
    </w:lvl>
    <w:lvl w:ilvl="6">
      <w:start w:val="1"/>
      <w:numFmt w:val="bullet"/>
      <w:pStyle w:val="TableDashEn5"/>
      <w:lvlText w:val="–"/>
      <w:lvlJc w:val="left"/>
      <w:pPr>
        <w:tabs>
          <w:tab w:val="num" w:pos="1984"/>
        </w:tabs>
        <w:ind w:left="1984" w:hanging="283"/>
      </w:pPr>
      <w:rPr>
        <w:rFonts w:hint="default"/>
        <w:b w:val="0"/>
        <w:i w:val="0"/>
      </w:rPr>
    </w:lvl>
    <w:lvl w:ilvl="7">
      <w:start w:val="1"/>
      <w:numFmt w:val="bullet"/>
      <w:pStyle w:val="TableDashEn6"/>
      <w:lvlText w:val="–"/>
      <w:lvlJc w:val="left"/>
      <w:pPr>
        <w:tabs>
          <w:tab w:val="num" w:pos="2268"/>
        </w:tabs>
        <w:ind w:left="2268" w:hanging="284"/>
      </w:pPr>
      <w:rPr>
        <w:rFonts w:hint="default"/>
        <w:b w:val="0"/>
        <w:i w:val="0"/>
      </w:rPr>
    </w:lvl>
    <w:lvl w:ilvl="8">
      <w:start w:val="1"/>
      <w:numFmt w:val="bullet"/>
      <w:pStyle w:val="TableDashEn7"/>
      <w:lvlText w:val="–"/>
      <w:lvlJc w:val="left"/>
      <w:pPr>
        <w:tabs>
          <w:tab w:val="num" w:pos="2551"/>
        </w:tabs>
        <w:ind w:left="2551" w:hanging="283"/>
      </w:pPr>
      <w:rPr>
        <w:rFonts w:hint="default"/>
        <w:b w:val="0"/>
        <w:i w:val="0"/>
      </w:rPr>
    </w:lvl>
  </w:abstractNum>
  <w:abstractNum w:abstractNumId="26" w15:restartNumberingAfterBreak="0">
    <w:nsid w:val="22B242CC"/>
    <w:multiLevelType w:val="multilevel"/>
    <w:tmpl w:val="C7989870"/>
    <w:lvl w:ilvl="0">
      <w:start w:val="1"/>
      <w:numFmt w:val="none"/>
      <w:lvlRestart w:val="0"/>
      <w:pStyle w:val="Heading1"/>
      <w:suff w:val="nothing"/>
      <w:lvlText w:val=""/>
      <w:lvlJc w:val="left"/>
      <w:pPr>
        <w:tabs>
          <w:tab w:val="num" w:pos="850"/>
        </w:tabs>
        <w:ind w:left="850" w:hanging="425"/>
      </w:pPr>
    </w:lvl>
    <w:lvl w:ilvl="1">
      <w:start w:val="1"/>
      <w:numFmt w:val="none"/>
      <w:lvlRestart w:val="0"/>
      <w:suff w:val="nothing"/>
      <w:lvlText w:val=""/>
      <w:lvlJc w:val="left"/>
      <w:pPr>
        <w:tabs>
          <w:tab w:val="num" w:pos="850"/>
        </w:tabs>
        <w:ind w:left="850" w:hanging="425"/>
      </w:pPr>
    </w:lvl>
    <w:lvl w:ilvl="2">
      <w:start w:val="1"/>
      <w:numFmt w:val="none"/>
      <w:lvlRestart w:val="0"/>
      <w:pStyle w:val="Heading3"/>
      <w:suff w:val="nothing"/>
      <w:lvlText w:val=""/>
      <w:lvlJc w:val="left"/>
      <w:pPr>
        <w:tabs>
          <w:tab w:val="num" w:pos="1276"/>
        </w:tabs>
        <w:ind w:left="1276" w:hanging="426"/>
      </w:pPr>
    </w:lvl>
    <w:lvl w:ilvl="3">
      <w:start w:val="1"/>
      <w:numFmt w:val="none"/>
      <w:lvlRestart w:val="0"/>
      <w:pStyle w:val="Heading41"/>
      <w:suff w:val="nothing"/>
      <w:lvlText w:val=""/>
      <w:lvlJc w:val="left"/>
      <w:pPr>
        <w:tabs>
          <w:tab w:val="num" w:pos="1701"/>
        </w:tabs>
        <w:ind w:left="1701" w:hanging="425"/>
      </w:pPr>
    </w:lvl>
    <w:lvl w:ilvl="4">
      <w:start w:val="1"/>
      <w:numFmt w:val="none"/>
      <w:lvlRestart w:val="0"/>
      <w:pStyle w:val="Heading5"/>
      <w:suff w:val="nothing"/>
      <w:lvlText w:val=""/>
      <w:lvlJc w:val="left"/>
      <w:pPr>
        <w:tabs>
          <w:tab w:val="num" w:pos="2126"/>
        </w:tabs>
        <w:ind w:left="2126" w:hanging="425"/>
      </w:pPr>
    </w:lvl>
    <w:lvl w:ilvl="5">
      <w:start w:val="1"/>
      <w:numFmt w:val="none"/>
      <w:lvlRestart w:val="0"/>
      <w:pStyle w:val="Heading61"/>
      <w:suff w:val="nothing"/>
      <w:lvlText w:val=""/>
      <w:lvlJc w:val="left"/>
      <w:pPr>
        <w:tabs>
          <w:tab w:val="num" w:pos="2551"/>
        </w:tabs>
        <w:ind w:left="2551" w:hanging="425"/>
      </w:pPr>
    </w:lvl>
    <w:lvl w:ilvl="6">
      <w:start w:val="1"/>
      <w:numFmt w:val="none"/>
      <w:lvlRestart w:val="0"/>
      <w:pStyle w:val="Heading71"/>
      <w:suff w:val="nothing"/>
      <w:lvlText w:val=""/>
      <w:lvlJc w:val="left"/>
      <w:pPr>
        <w:tabs>
          <w:tab w:val="num" w:pos="2976"/>
        </w:tabs>
        <w:ind w:left="2976" w:hanging="425"/>
      </w:pPr>
    </w:lvl>
    <w:lvl w:ilvl="7">
      <w:start w:val="1"/>
      <w:numFmt w:val="none"/>
      <w:lvlRestart w:val="0"/>
      <w:suff w:val="nothing"/>
      <w:lvlText w:val=""/>
      <w:lvlJc w:val="left"/>
      <w:pPr>
        <w:tabs>
          <w:tab w:val="num" w:pos="3402"/>
        </w:tabs>
        <w:ind w:left="3402" w:hanging="426"/>
      </w:pPr>
    </w:lvl>
    <w:lvl w:ilvl="8">
      <w:start w:val="1"/>
      <w:numFmt w:val="none"/>
      <w:lvlRestart w:val="0"/>
      <w:suff w:val="nothing"/>
      <w:lvlText w:val=""/>
      <w:lvlJc w:val="left"/>
      <w:pPr>
        <w:tabs>
          <w:tab w:val="num" w:pos="3827"/>
        </w:tabs>
        <w:ind w:left="3827" w:hanging="425"/>
      </w:pPr>
    </w:lvl>
  </w:abstractNum>
  <w:abstractNum w:abstractNumId="27" w15:restartNumberingAfterBreak="0">
    <w:nsid w:val="265B1B49"/>
    <w:multiLevelType w:val="multilevel"/>
    <w:tmpl w:val="55B093F8"/>
    <w:lvl w:ilvl="0">
      <w:start w:val="1"/>
      <w:numFmt w:val="none"/>
      <w:lvlRestart w:val="0"/>
      <w:pStyle w:val="Quotation"/>
      <w:suff w:val="nothing"/>
      <w:lvlText w:val=""/>
      <w:lvlJc w:val="left"/>
      <w:pPr>
        <w:tabs>
          <w:tab w:val="num" w:pos="425"/>
        </w:tabs>
        <w:ind w:left="425" w:firstLine="0"/>
      </w:pPr>
    </w:lvl>
    <w:lvl w:ilvl="1">
      <w:start w:val="1"/>
      <w:numFmt w:val="none"/>
      <w:lvlRestart w:val="0"/>
      <w:pStyle w:val="Quotation1"/>
      <w:suff w:val="nothing"/>
      <w:lvlText w:val=""/>
      <w:lvlJc w:val="left"/>
      <w:pPr>
        <w:tabs>
          <w:tab w:val="num" w:pos="425"/>
        </w:tabs>
        <w:ind w:left="425" w:firstLine="0"/>
      </w:pPr>
    </w:lvl>
    <w:lvl w:ilvl="2">
      <w:start w:val="1"/>
      <w:numFmt w:val="none"/>
      <w:lvlRestart w:val="0"/>
      <w:pStyle w:val="Quotation2"/>
      <w:suff w:val="nothing"/>
      <w:lvlText w:val=""/>
      <w:lvlJc w:val="left"/>
      <w:pPr>
        <w:tabs>
          <w:tab w:val="num" w:pos="850"/>
        </w:tabs>
        <w:ind w:left="850" w:firstLine="0"/>
      </w:pPr>
    </w:lvl>
    <w:lvl w:ilvl="3">
      <w:start w:val="1"/>
      <w:numFmt w:val="none"/>
      <w:lvlRestart w:val="0"/>
      <w:pStyle w:val="Quotation3"/>
      <w:suff w:val="nothing"/>
      <w:lvlText w:val=""/>
      <w:lvlJc w:val="left"/>
      <w:pPr>
        <w:tabs>
          <w:tab w:val="num" w:pos="1276"/>
        </w:tabs>
        <w:ind w:left="1276" w:firstLine="0"/>
      </w:pPr>
    </w:lvl>
    <w:lvl w:ilvl="4">
      <w:start w:val="1"/>
      <w:numFmt w:val="none"/>
      <w:lvlRestart w:val="0"/>
      <w:pStyle w:val="Quotation4"/>
      <w:suff w:val="nothing"/>
      <w:lvlText w:val=""/>
      <w:lvlJc w:val="left"/>
      <w:pPr>
        <w:tabs>
          <w:tab w:val="num" w:pos="1701"/>
        </w:tabs>
        <w:ind w:left="1701" w:firstLine="0"/>
      </w:pPr>
    </w:lvl>
    <w:lvl w:ilvl="5">
      <w:start w:val="1"/>
      <w:numFmt w:val="none"/>
      <w:lvlRestart w:val="0"/>
      <w:pStyle w:val="Quotation5"/>
      <w:suff w:val="nothing"/>
      <w:lvlText w:val=""/>
      <w:lvlJc w:val="left"/>
      <w:pPr>
        <w:tabs>
          <w:tab w:val="num" w:pos="2126"/>
        </w:tabs>
        <w:ind w:left="2126" w:firstLine="0"/>
      </w:pPr>
    </w:lvl>
    <w:lvl w:ilvl="6">
      <w:start w:val="1"/>
      <w:numFmt w:val="none"/>
      <w:lvlRestart w:val="0"/>
      <w:pStyle w:val="Quotation6"/>
      <w:suff w:val="nothing"/>
      <w:lvlText w:val=""/>
      <w:lvlJc w:val="left"/>
      <w:pPr>
        <w:tabs>
          <w:tab w:val="num" w:pos="2551"/>
        </w:tabs>
        <w:ind w:left="2551" w:firstLine="0"/>
      </w:pPr>
    </w:lvl>
    <w:lvl w:ilvl="7">
      <w:start w:val="1"/>
      <w:numFmt w:val="none"/>
      <w:lvlRestart w:val="0"/>
      <w:pStyle w:val="Quotation7"/>
      <w:suff w:val="nothing"/>
      <w:lvlText w:val=""/>
      <w:lvlJc w:val="left"/>
      <w:pPr>
        <w:tabs>
          <w:tab w:val="num" w:pos="2976"/>
        </w:tabs>
        <w:ind w:left="2976" w:firstLine="0"/>
      </w:pPr>
    </w:lvl>
    <w:lvl w:ilvl="8">
      <w:start w:val="1"/>
      <w:numFmt w:val="none"/>
      <w:lvlRestart w:val="0"/>
      <w:pStyle w:val="Quotation8"/>
      <w:suff w:val="nothing"/>
      <w:lvlText w:val=""/>
      <w:lvlJc w:val="left"/>
      <w:pPr>
        <w:tabs>
          <w:tab w:val="num" w:pos="3402"/>
        </w:tabs>
        <w:ind w:left="3402" w:firstLine="0"/>
      </w:pPr>
    </w:lvl>
  </w:abstractNum>
  <w:abstractNum w:abstractNumId="28" w15:restartNumberingAfterBreak="0">
    <w:nsid w:val="27495328"/>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28934A6B"/>
    <w:multiLevelType w:val="multilevel"/>
    <w:tmpl w:val="8034DBC8"/>
    <w:lvl w:ilvl="0">
      <w:start w:val="1"/>
      <w:numFmt w:val="bullet"/>
      <w:lvlText w:val=""/>
      <w:lvlJc w:val="left"/>
      <w:pPr>
        <w:tabs>
          <w:tab w:val="num" w:pos="425"/>
        </w:tabs>
        <w:ind w:left="425" w:hanging="425"/>
      </w:pPr>
      <w:rPr>
        <w:rFonts w:ascii="Symbol" w:hAnsi="Symbol" w:hint="default"/>
        <w:b/>
        <w:i w:val="0"/>
      </w:rPr>
    </w:lvl>
    <w:lvl w:ilvl="1">
      <w:start w:val="1"/>
      <w:numFmt w:val="bullet"/>
      <w:pStyle w:val="Dot1"/>
      <w:lvlText w:val=""/>
      <w:lvlJc w:val="left"/>
      <w:pPr>
        <w:tabs>
          <w:tab w:val="num" w:pos="425"/>
        </w:tabs>
        <w:ind w:left="425" w:hanging="425"/>
      </w:pPr>
      <w:rPr>
        <w:rFonts w:ascii="Symbol" w:hAnsi="Symbol" w:hint="default"/>
        <w:b/>
        <w:i w:val="0"/>
      </w:rPr>
    </w:lvl>
    <w:lvl w:ilvl="2">
      <w:start w:val="1"/>
      <w:numFmt w:val="bullet"/>
      <w:lvlText w:val="–"/>
      <w:lvlJc w:val="left"/>
      <w:pPr>
        <w:tabs>
          <w:tab w:val="num" w:pos="850"/>
        </w:tabs>
        <w:ind w:left="850" w:hanging="425"/>
      </w:pPr>
      <w:rPr>
        <w:rFonts w:hint="default"/>
        <w:b w:val="0"/>
        <w:i w:val="0"/>
      </w:rPr>
    </w:lvl>
    <w:lvl w:ilvl="3">
      <w:start w:val="1"/>
      <w:numFmt w:val="bullet"/>
      <w:lvlText w:val="–"/>
      <w:lvlJc w:val="left"/>
      <w:pPr>
        <w:tabs>
          <w:tab w:val="num" w:pos="1276"/>
        </w:tabs>
        <w:ind w:left="1276" w:hanging="426"/>
      </w:pPr>
      <w:rPr>
        <w:rFonts w:hint="default"/>
        <w:b w:val="0"/>
        <w:i w:val="0"/>
      </w:rPr>
    </w:lvl>
    <w:lvl w:ilvl="4">
      <w:start w:val="1"/>
      <w:numFmt w:val="bullet"/>
      <w:lvlText w:val="–"/>
      <w:lvlJc w:val="left"/>
      <w:pPr>
        <w:tabs>
          <w:tab w:val="num" w:pos="1701"/>
        </w:tabs>
        <w:ind w:left="1701" w:hanging="425"/>
      </w:pPr>
      <w:rPr>
        <w:rFonts w:hint="default"/>
        <w:b w:val="0"/>
        <w:i w:val="0"/>
      </w:rPr>
    </w:lvl>
    <w:lvl w:ilvl="5">
      <w:start w:val="1"/>
      <w:numFmt w:val="bullet"/>
      <w:lvlText w:val="–"/>
      <w:lvlJc w:val="left"/>
      <w:pPr>
        <w:tabs>
          <w:tab w:val="num" w:pos="2126"/>
        </w:tabs>
        <w:ind w:left="2126" w:hanging="425"/>
      </w:pPr>
      <w:rPr>
        <w:rFonts w:hint="default"/>
        <w:b w:val="0"/>
        <w:i w:val="0"/>
      </w:rPr>
    </w:lvl>
    <w:lvl w:ilvl="6">
      <w:start w:val="1"/>
      <w:numFmt w:val="bullet"/>
      <w:lvlText w:val="–"/>
      <w:lvlJc w:val="left"/>
      <w:pPr>
        <w:tabs>
          <w:tab w:val="num" w:pos="2551"/>
        </w:tabs>
        <w:ind w:left="2551" w:hanging="425"/>
      </w:pPr>
      <w:rPr>
        <w:rFonts w:hint="default"/>
        <w:b w:val="0"/>
        <w:i w:val="0"/>
      </w:rPr>
    </w:lvl>
    <w:lvl w:ilvl="7">
      <w:start w:val="1"/>
      <w:numFmt w:val="bullet"/>
      <w:lvlText w:val="–"/>
      <w:lvlJc w:val="left"/>
      <w:pPr>
        <w:tabs>
          <w:tab w:val="num" w:pos="2976"/>
        </w:tabs>
        <w:ind w:left="2976" w:hanging="425"/>
      </w:pPr>
      <w:rPr>
        <w:rFonts w:hint="default"/>
        <w:b w:val="0"/>
        <w:i w:val="0"/>
      </w:rPr>
    </w:lvl>
    <w:lvl w:ilvl="8">
      <w:start w:val="1"/>
      <w:numFmt w:val="bullet"/>
      <w:lvlText w:val="–"/>
      <w:lvlJc w:val="left"/>
      <w:pPr>
        <w:tabs>
          <w:tab w:val="num" w:pos="3402"/>
        </w:tabs>
        <w:ind w:left="3402" w:hanging="426"/>
      </w:pPr>
      <w:rPr>
        <w:rFonts w:hint="default"/>
        <w:b w:val="0"/>
        <w:i w:val="0"/>
      </w:rPr>
    </w:lvl>
  </w:abstractNum>
  <w:abstractNum w:abstractNumId="30" w15:restartNumberingAfterBreak="0">
    <w:nsid w:val="297A625E"/>
    <w:multiLevelType w:val="multilevel"/>
    <w:tmpl w:val="4412DE6C"/>
    <w:lvl w:ilvl="0">
      <w:start w:val="1"/>
      <w:numFmt w:val="none"/>
      <w:lvlRestart w:val="0"/>
      <w:pStyle w:val="TableIndentHanging"/>
      <w:suff w:val="nothing"/>
      <w:lvlText w:val=""/>
      <w:lvlJc w:val="left"/>
      <w:pPr>
        <w:tabs>
          <w:tab w:val="num" w:pos="567"/>
        </w:tabs>
        <w:ind w:left="567" w:hanging="284"/>
      </w:pPr>
    </w:lvl>
    <w:lvl w:ilvl="1">
      <w:start w:val="1"/>
      <w:numFmt w:val="none"/>
      <w:lvlRestart w:val="0"/>
      <w:pStyle w:val="TableIndentHanging1"/>
      <w:suff w:val="nothing"/>
      <w:lvlText w:val=""/>
      <w:lvlJc w:val="left"/>
      <w:pPr>
        <w:tabs>
          <w:tab w:val="num" w:pos="567"/>
        </w:tabs>
        <w:ind w:left="567" w:hanging="284"/>
      </w:pPr>
    </w:lvl>
    <w:lvl w:ilvl="2">
      <w:start w:val="1"/>
      <w:numFmt w:val="none"/>
      <w:lvlRestart w:val="0"/>
      <w:pStyle w:val="TableIndentHanging2"/>
      <w:suff w:val="nothing"/>
      <w:lvlText w:val=""/>
      <w:lvlJc w:val="left"/>
      <w:pPr>
        <w:tabs>
          <w:tab w:val="num" w:pos="850"/>
        </w:tabs>
        <w:ind w:left="850" w:hanging="283"/>
      </w:pPr>
    </w:lvl>
    <w:lvl w:ilvl="3">
      <w:start w:val="1"/>
      <w:numFmt w:val="none"/>
      <w:lvlRestart w:val="0"/>
      <w:pStyle w:val="TableIndentHanging3"/>
      <w:suff w:val="nothing"/>
      <w:lvlText w:val=""/>
      <w:lvlJc w:val="left"/>
      <w:pPr>
        <w:tabs>
          <w:tab w:val="num" w:pos="1134"/>
        </w:tabs>
        <w:ind w:left="1134" w:hanging="284"/>
      </w:pPr>
    </w:lvl>
    <w:lvl w:ilvl="4">
      <w:start w:val="1"/>
      <w:numFmt w:val="none"/>
      <w:lvlRestart w:val="0"/>
      <w:pStyle w:val="TableIndentHanging4"/>
      <w:suff w:val="nothing"/>
      <w:lvlText w:val=""/>
      <w:lvlJc w:val="left"/>
      <w:pPr>
        <w:tabs>
          <w:tab w:val="num" w:pos="1417"/>
        </w:tabs>
        <w:ind w:left="1417" w:hanging="283"/>
      </w:pPr>
    </w:lvl>
    <w:lvl w:ilvl="5">
      <w:start w:val="1"/>
      <w:numFmt w:val="none"/>
      <w:lvlRestart w:val="0"/>
      <w:pStyle w:val="TableIndentHanging5"/>
      <w:suff w:val="nothing"/>
      <w:lvlText w:val=""/>
      <w:lvlJc w:val="left"/>
      <w:pPr>
        <w:tabs>
          <w:tab w:val="num" w:pos="1701"/>
        </w:tabs>
        <w:ind w:left="1701" w:hanging="284"/>
      </w:pPr>
    </w:lvl>
    <w:lvl w:ilvl="6">
      <w:start w:val="1"/>
      <w:numFmt w:val="none"/>
      <w:lvlRestart w:val="0"/>
      <w:pStyle w:val="TableIndentHanging6"/>
      <w:suff w:val="nothing"/>
      <w:lvlText w:val=""/>
      <w:lvlJc w:val="left"/>
      <w:pPr>
        <w:tabs>
          <w:tab w:val="num" w:pos="1984"/>
        </w:tabs>
        <w:ind w:left="1984" w:hanging="283"/>
      </w:pPr>
    </w:lvl>
    <w:lvl w:ilvl="7">
      <w:start w:val="1"/>
      <w:numFmt w:val="none"/>
      <w:lvlRestart w:val="0"/>
      <w:pStyle w:val="TableIndentHanging7"/>
      <w:suff w:val="nothing"/>
      <w:lvlText w:val=""/>
      <w:lvlJc w:val="left"/>
      <w:pPr>
        <w:tabs>
          <w:tab w:val="num" w:pos="2268"/>
        </w:tabs>
        <w:ind w:left="2268" w:hanging="284"/>
      </w:pPr>
    </w:lvl>
    <w:lvl w:ilvl="8">
      <w:start w:val="1"/>
      <w:numFmt w:val="none"/>
      <w:lvlRestart w:val="0"/>
      <w:pStyle w:val="TableIndentHanging8"/>
      <w:suff w:val="nothing"/>
      <w:lvlText w:val=""/>
      <w:lvlJc w:val="left"/>
      <w:pPr>
        <w:tabs>
          <w:tab w:val="num" w:pos="2551"/>
        </w:tabs>
        <w:ind w:left="2551" w:hanging="283"/>
      </w:pPr>
    </w:lvl>
  </w:abstractNum>
  <w:abstractNum w:abstractNumId="31" w15:restartNumberingAfterBreak="0">
    <w:nsid w:val="2BE23D17"/>
    <w:multiLevelType w:val="hybridMultilevel"/>
    <w:tmpl w:val="DDEAEA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2CCA0402"/>
    <w:multiLevelType w:val="hybridMultilevel"/>
    <w:tmpl w:val="D62A9854"/>
    <w:lvl w:ilvl="0" w:tplc="0C090001">
      <w:start w:val="1"/>
      <w:numFmt w:val="bullet"/>
      <w:lvlText w:val=""/>
      <w:lvlJc w:val="left"/>
      <w:pPr>
        <w:ind w:left="720" w:hanging="360"/>
      </w:pPr>
      <w:rPr>
        <w:rFonts w:ascii="Symbol" w:hAnsi="Symbol" w:hint="default"/>
      </w:rPr>
    </w:lvl>
    <w:lvl w:ilvl="1" w:tplc="541C0E0C">
      <w:numFmt w:val="bullet"/>
      <w:lvlText w:val="-"/>
      <w:lvlJc w:val="left"/>
      <w:pPr>
        <w:ind w:left="1440" w:hanging="360"/>
      </w:pPr>
      <w:rPr>
        <w:rFonts w:ascii="Calibri" w:eastAsia="Times New Roman" w:hAnsi="Calibri" w:cs="Calibri"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3" w15:restartNumberingAfterBreak="0">
    <w:nsid w:val="2DA42A2C"/>
    <w:multiLevelType w:val="hybridMultilevel"/>
    <w:tmpl w:val="0B2C0CB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2F3534CF"/>
    <w:multiLevelType w:val="multilevel"/>
    <w:tmpl w:val="17E03F5A"/>
    <w:lvl w:ilvl="0">
      <w:start w:val="1"/>
      <w:numFmt w:val="lowerLetter"/>
      <w:pStyle w:val="NumberedLista"/>
      <w:lvlText w:val="%1)"/>
      <w:lvlJc w:val="left"/>
      <w:pPr>
        <w:tabs>
          <w:tab w:val="num" w:pos="850"/>
        </w:tabs>
        <w:ind w:left="850" w:hanging="425"/>
      </w:pPr>
    </w:lvl>
    <w:lvl w:ilvl="1">
      <w:start w:val="1"/>
      <w:numFmt w:val="lowerLetter"/>
      <w:pStyle w:val="NumberedLista1"/>
      <w:lvlText w:val="%2)"/>
      <w:lvlJc w:val="left"/>
      <w:pPr>
        <w:tabs>
          <w:tab w:val="num" w:pos="850"/>
        </w:tabs>
        <w:ind w:left="850" w:hanging="425"/>
      </w:pPr>
    </w:lvl>
    <w:lvl w:ilvl="2">
      <w:start w:val="1"/>
      <w:numFmt w:val="lowerLetter"/>
      <w:pStyle w:val="NumberedLista2"/>
      <w:lvlText w:val="%3)"/>
      <w:lvlJc w:val="left"/>
      <w:pPr>
        <w:tabs>
          <w:tab w:val="num" w:pos="1276"/>
        </w:tabs>
        <w:ind w:left="1276" w:hanging="426"/>
      </w:pPr>
    </w:lvl>
    <w:lvl w:ilvl="3">
      <w:start w:val="1"/>
      <w:numFmt w:val="lowerLetter"/>
      <w:pStyle w:val="NumberedLista3"/>
      <w:lvlText w:val="%4)"/>
      <w:lvlJc w:val="left"/>
      <w:pPr>
        <w:tabs>
          <w:tab w:val="num" w:pos="1701"/>
        </w:tabs>
        <w:ind w:left="1701" w:hanging="425"/>
      </w:pPr>
    </w:lvl>
    <w:lvl w:ilvl="4">
      <w:start w:val="1"/>
      <w:numFmt w:val="lowerLetter"/>
      <w:pStyle w:val="NumberedLista4"/>
      <w:lvlText w:val="%5)"/>
      <w:lvlJc w:val="left"/>
      <w:pPr>
        <w:tabs>
          <w:tab w:val="num" w:pos="2126"/>
        </w:tabs>
        <w:ind w:left="2126" w:hanging="425"/>
      </w:pPr>
    </w:lvl>
    <w:lvl w:ilvl="5">
      <w:start w:val="1"/>
      <w:numFmt w:val="lowerLetter"/>
      <w:pStyle w:val="NumberedLista5"/>
      <w:lvlText w:val="%6)"/>
      <w:lvlJc w:val="left"/>
      <w:pPr>
        <w:tabs>
          <w:tab w:val="num" w:pos="2551"/>
        </w:tabs>
        <w:ind w:left="2551" w:hanging="425"/>
      </w:pPr>
    </w:lvl>
    <w:lvl w:ilvl="6">
      <w:start w:val="1"/>
      <w:numFmt w:val="lowerLetter"/>
      <w:pStyle w:val="NumberedLista6"/>
      <w:lvlText w:val="%7)"/>
      <w:lvlJc w:val="left"/>
      <w:pPr>
        <w:tabs>
          <w:tab w:val="num" w:pos="2976"/>
        </w:tabs>
        <w:ind w:left="2976" w:hanging="425"/>
      </w:pPr>
    </w:lvl>
    <w:lvl w:ilvl="7">
      <w:start w:val="1"/>
      <w:numFmt w:val="lowerLetter"/>
      <w:pStyle w:val="NumberedLista7"/>
      <w:lvlText w:val="%8)"/>
      <w:lvlJc w:val="left"/>
      <w:pPr>
        <w:tabs>
          <w:tab w:val="num" w:pos="3402"/>
        </w:tabs>
        <w:ind w:left="3402" w:hanging="426"/>
      </w:pPr>
    </w:lvl>
    <w:lvl w:ilvl="8">
      <w:start w:val="1"/>
      <w:numFmt w:val="lowerLetter"/>
      <w:pStyle w:val="NumberedLista8"/>
      <w:lvlText w:val="%9)"/>
      <w:lvlJc w:val="left"/>
      <w:pPr>
        <w:tabs>
          <w:tab w:val="num" w:pos="3827"/>
        </w:tabs>
        <w:ind w:left="3827" w:hanging="425"/>
      </w:pPr>
    </w:lvl>
  </w:abstractNum>
  <w:abstractNum w:abstractNumId="35" w15:restartNumberingAfterBreak="0">
    <w:nsid w:val="3820522E"/>
    <w:multiLevelType w:val="multilevel"/>
    <w:tmpl w:val="5806498E"/>
    <w:name w:val="AGSQuote"/>
    <w:lvl w:ilvl="0">
      <w:start w:val="1"/>
      <w:numFmt w:val="bullet"/>
      <w:pStyle w:val="DashEM1forOutlook"/>
      <w:lvlText w:val="—"/>
      <w:lvlJc w:val="left"/>
      <w:pPr>
        <w:tabs>
          <w:tab w:val="num" w:pos="1134"/>
        </w:tabs>
        <w:ind w:left="1134" w:hanging="425"/>
      </w:pPr>
      <w:rPr>
        <w:b/>
        <w:i w:val="0"/>
      </w:rPr>
    </w:lvl>
    <w:lvl w:ilvl="1">
      <w:start w:val="1"/>
      <w:numFmt w:val="bullet"/>
      <w:pStyle w:val="DashEM1forOutlook"/>
      <w:lvlText w:val="—"/>
      <w:lvlJc w:val="left"/>
      <w:pPr>
        <w:tabs>
          <w:tab w:val="num" w:pos="1134"/>
        </w:tabs>
        <w:ind w:left="1134" w:hanging="425"/>
      </w:pPr>
      <w:rPr>
        <w:b/>
        <w:i w:val="0"/>
      </w:rPr>
    </w:lvl>
    <w:lvl w:ilvl="2">
      <w:start w:val="1"/>
      <w:numFmt w:val="bullet"/>
      <w:pStyle w:val="DashEN1forOutlook"/>
      <w:lvlText w:val="–"/>
      <w:lvlJc w:val="left"/>
      <w:pPr>
        <w:tabs>
          <w:tab w:val="num" w:pos="1559"/>
        </w:tabs>
        <w:ind w:left="1559" w:hanging="425"/>
      </w:pPr>
      <w:rPr>
        <w:b w:val="0"/>
        <w:i w:val="0"/>
      </w:rPr>
    </w:lvl>
    <w:lvl w:ilvl="3">
      <w:start w:val="1"/>
      <w:numFmt w:val="bullet"/>
      <w:lvlText w:val="–"/>
      <w:lvlJc w:val="left"/>
      <w:pPr>
        <w:tabs>
          <w:tab w:val="num" w:pos="1985"/>
        </w:tabs>
        <w:ind w:left="1985" w:hanging="426"/>
      </w:pPr>
      <w:rPr>
        <w:b w:val="0"/>
        <w:i w:val="0"/>
      </w:rPr>
    </w:lvl>
    <w:lvl w:ilvl="4">
      <w:start w:val="1"/>
      <w:numFmt w:val="bullet"/>
      <w:lvlText w:val="–"/>
      <w:lvlJc w:val="left"/>
      <w:pPr>
        <w:tabs>
          <w:tab w:val="num" w:pos="2410"/>
        </w:tabs>
        <w:ind w:left="2410" w:hanging="425"/>
      </w:pPr>
      <w:rPr>
        <w:b w:val="0"/>
        <w:i w:val="0"/>
      </w:rPr>
    </w:lvl>
    <w:lvl w:ilvl="5">
      <w:start w:val="1"/>
      <w:numFmt w:val="bullet"/>
      <w:lvlText w:val="–"/>
      <w:lvlJc w:val="left"/>
      <w:pPr>
        <w:tabs>
          <w:tab w:val="num" w:pos="2835"/>
        </w:tabs>
        <w:ind w:left="2835" w:hanging="425"/>
      </w:pPr>
      <w:rPr>
        <w:b w:val="0"/>
        <w:i w:val="0"/>
      </w:rPr>
    </w:lvl>
    <w:lvl w:ilvl="6">
      <w:start w:val="1"/>
      <w:numFmt w:val="bullet"/>
      <w:lvlText w:val="–"/>
      <w:lvlJc w:val="left"/>
      <w:pPr>
        <w:tabs>
          <w:tab w:val="num" w:pos="3260"/>
        </w:tabs>
        <w:ind w:left="3260" w:hanging="425"/>
      </w:pPr>
      <w:rPr>
        <w:b w:val="0"/>
        <w:i w:val="0"/>
      </w:rPr>
    </w:lvl>
    <w:lvl w:ilvl="7">
      <w:start w:val="1"/>
      <w:numFmt w:val="bullet"/>
      <w:lvlText w:val="–"/>
      <w:lvlJc w:val="left"/>
      <w:pPr>
        <w:tabs>
          <w:tab w:val="num" w:pos="3686"/>
        </w:tabs>
        <w:ind w:left="3686" w:hanging="426"/>
      </w:pPr>
      <w:rPr>
        <w:b w:val="0"/>
        <w:i w:val="0"/>
      </w:rPr>
    </w:lvl>
    <w:lvl w:ilvl="8">
      <w:start w:val="1"/>
      <w:numFmt w:val="bullet"/>
      <w:lvlText w:val="–"/>
      <w:lvlJc w:val="left"/>
      <w:pPr>
        <w:tabs>
          <w:tab w:val="num" w:pos="4111"/>
        </w:tabs>
        <w:ind w:left="4111" w:hanging="425"/>
      </w:pPr>
      <w:rPr>
        <w:b w:val="0"/>
        <w:i w:val="0"/>
      </w:rPr>
    </w:lvl>
  </w:abstractNum>
  <w:abstractNum w:abstractNumId="36" w15:restartNumberingAfterBreak="0">
    <w:nsid w:val="3F381A69"/>
    <w:multiLevelType w:val="hybridMultilevel"/>
    <w:tmpl w:val="5AD640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423941B7"/>
    <w:multiLevelType w:val="hybridMultilevel"/>
    <w:tmpl w:val="873C8C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2E216A8"/>
    <w:multiLevelType w:val="hybridMultilevel"/>
    <w:tmpl w:val="A29EF9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4B937B53"/>
    <w:multiLevelType w:val="hybridMultilevel"/>
    <w:tmpl w:val="FFA4DC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2A84DD5"/>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C5318AD"/>
    <w:multiLevelType w:val="hybridMultilevel"/>
    <w:tmpl w:val="AF001C7C"/>
    <w:name w:val="AGSQuote2"/>
    <w:lvl w:ilvl="0" w:tplc="BCC20644">
      <w:start w:val="1"/>
      <w:numFmt w:val="bullet"/>
      <w:pStyle w:val="Dot1forOutlook"/>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42" w15:restartNumberingAfterBreak="0">
    <w:nsid w:val="62145B74"/>
    <w:multiLevelType w:val="hybridMultilevel"/>
    <w:tmpl w:val="7CE49B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3812229"/>
    <w:multiLevelType w:val="hybridMultilevel"/>
    <w:tmpl w:val="558E80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8E971CF"/>
    <w:multiLevelType w:val="hybridMultilevel"/>
    <w:tmpl w:val="BA6A0A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9C5708C"/>
    <w:multiLevelType w:val="multilevel"/>
    <w:tmpl w:val="8A9AA238"/>
    <w:lvl w:ilvl="0">
      <w:start w:val="1"/>
      <w:numFmt w:val="lowerRoman"/>
      <w:pStyle w:val="Plainparai"/>
      <w:lvlText w:val="%1."/>
      <w:lvlJc w:val="left"/>
      <w:pPr>
        <w:tabs>
          <w:tab w:val="num" w:pos="851"/>
        </w:tabs>
        <w:ind w:left="851" w:hanging="426"/>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0AA7E86"/>
    <w:multiLevelType w:val="multilevel"/>
    <w:tmpl w:val="D1BCC71C"/>
    <w:lvl w:ilvl="0">
      <w:start w:val="1"/>
      <w:numFmt w:val="bullet"/>
      <w:pStyle w:val="DashEm1"/>
      <w:lvlText w:val="—"/>
      <w:lvlJc w:val="left"/>
      <w:pPr>
        <w:tabs>
          <w:tab w:val="num" w:pos="425"/>
        </w:tabs>
        <w:ind w:left="425" w:hanging="425"/>
      </w:pPr>
      <w:rPr>
        <w:rFonts w:hint="default"/>
        <w:b/>
        <w:i w:val="0"/>
        <w:color w:val="auto"/>
      </w:rPr>
    </w:lvl>
    <w:lvl w:ilvl="1">
      <w:start w:val="1"/>
      <w:numFmt w:val="bullet"/>
      <w:pStyle w:val="DashEm"/>
      <w:lvlText w:val="—"/>
      <w:lvlJc w:val="left"/>
      <w:pPr>
        <w:tabs>
          <w:tab w:val="num" w:pos="425"/>
        </w:tabs>
        <w:ind w:left="425" w:hanging="425"/>
      </w:pPr>
      <w:rPr>
        <w:rFonts w:hint="default"/>
        <w:b/>
        <w:i w:val="0"/>
        <w:color w:val="auto"/>
      </w:rPr>
    </w:lvl>
    <w:lvl w:ilvl="2">
      <w:start w:val="1"/>
      <w:numFmt w:val="bullet"/>
      <w:pStyle w:val="DashEn1"/>
      <w:lvlText w:val="–"/>
      <w:lvlJc w:val="left"/>
      <w:pPr>
        <w:tabs>
          <w:tab w:val="num" w:pos="850"/>
        </w:tabs>
        <w:ind w:left="850" w:hanging="425"/>
      </w:pPr>
      <w:rPr>
        <w:rFonts w:hint="default"/>
        <w:b w:val="0"/>
        <w:i w:val="0"/>
      </w:rPr>
    </w:lvl>
    <w:lvl w:ilvl="3">
      <w:start w:val="1"/>
      <w:numFmt w:val="bullet"/>
      <w:pStyle w:val="DashEn2"/>
      <w:lvlText w:val="–"/>
      <w:lvlJc w:val="left"/>
      <w:pPr>
        <w:tabs>
          <w:tab w:val="num" w:pos="1276"/>
        </w:tabs>
        <w:ind w:left="1276" w:hanging="426"/>
      </w:pPr>
      <w:rPr>
        <w:rFonts w:hint="default"/>
        <w:b w:val="0"/>
        <w:i w:val="0"/>
      </w:rPr>
    </w:lvl>
    <w:lvl w:ilvl="4">
      <w:start w:val="1"/>
      <w:numFmt w:val="bullet"/>
      <w:pStyle w:val="DashEn3"/>
      <w:lvlText w:val="–"/>
      <w:lvlJc w:val="left"/>
      <w:pPr>
        <w:tabs>
          <w:tab w:val="num" w:pos="1701"/>
        </w:tabs>
        <w:ind w:left="1701" w:hanging="425"/>
      </w:pPr>
      <w:rPr>
        <w:rFonts w:hint="default"/>
        <w:b w:val="0"/>
        <w:i w:val="0"/>
      </w:rPr>
    </w:lvl>
    <w:lvl w:ilvl="5">
      <w:start w:val="1"/>
      <w:numFmt w:val="bullet"/>
      <w:pStyle w:val="DashEn4"/>
      <w:lvlText w:val="–"/>
      <w:lvlJc w:val="left"/>
      <w:pPr>
        <w:tabs>
          <w:tab w:val="num" w:pos="2126"/>
        </w:tabs>
        <w:ind w:left="2126" w:hanging="425"/>
      </w:pPr>
      <w:rPr>
        <w:rFonts w:hint="default"/>
        <w:b w:val="0"/>
        <w:i w:val="0"/>
      </w:rPr>
    </w:lvl>
    <w:lvl w:ilvl="6">
      <w:start w:val="1"/>
      <w:numFmt w:val="bullet"/>
      <w:pStyle w:val="DashEn5"/>
      <w:lvlText w:val="–"/>
      <w:lvlJc w:val="left"/>
      <w:pPr>
        <w:tabs>
          <w:tab w:val="num" w:pos="2551"/>
        </w:tabs>
        <w:ind w:left="2551" w:hanging="425"/>
      </w:pPr>
      <w:rPr>
        <w:rFonts w:hint="default"/>
        <w:b w:val="0"/>
        <w:i w:val="0"/>
      </w:rPr>
    </w:lvl>
    <w:lvl w:ilvl="7">
      <w:start w:val="1"/>
      <w:numFmt w:val="bullet"/>
      <w:pStyle w:val="DashEn6"/>
      <w:lvlText w:val="–"/>
      <w:lvlJc w:val="left"/>
      <w:pPr>
        <w:tabs>
          <w:tab w:val="num" w:pos="2976"/>
        </w:tabs>
        <w:ind w:left="2976" w:hanging="425"/>
      </w:pPr>
      <w:rPr>
        <w:rFonts w:hint="default"/>
        <w:b w:val="0"/>
        <w:i w:val="0"/>
      </w:rPr>
    </w:lvl>
    <w:lvl w:ilvl="8">
      <w:start w:val="1"/>
      <w:numFmt w:val="bullet"/>
      <w:pStyle w:val="DashEn7"/>
      <w:lvlText w:val="–"/>
      <w:lvlJc w:val="left"/>
      <w:pPr>
        <w:tabs>
          <w:tab w:val="num" w:pos="3402"/>
        </w:tabs>
        <w:ind w:left="3402" w:hanging="426"/>
      </w:pPr>
      <w:rPr>
        <w:rFonts w:hint="default"/>
        <w:b w:val="0"/>
        <w:i w:val="0"/>
      </w:rPr>
    </w:lvl>
  </w:abstractNum>
  <w:abstractNum w:abstractNumId="47" w15:restartNumberingAfterBreak="0">
    <w:nsid w:val="70F12A11"/>
    <w:multiLevelType w:val="hybridMultilevel"/>
    <w:tmpl w:val="2F0C54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52F707B"/>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9" w15:restartNumberingAfterBreak="0">
    <w:nsid w:val="7561651B"/>
    <w:multiLevelType w:val="hybridMultilevel"/>
    <w:tmpl w:val="2A9E4C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0" w15:restartNumberingAfterBreak="0">
    <w:nsid w:val="75B31D62"/>
    <w:multiLevelType w:val="hybridMultilevel"/>
    <w:tmpl w:val="CCE4E2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75E82110"/>
    <w:multiLevelType w:val="hybridMultilevel"/>
    <w:tmpl w:val="272AB9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2" w15:restartNumberingAfterBreak="0">
    <w:nsid w:val="7DC11EBF"/>
    <w:multiLevelType w:val="multilevel"/>
    <w:tmpl w:val="0F00ECC2"/>
    <w:lvl w:ilvl="0">
      <w:start w:val="1"/>
      <w:numFmt w:val="decimal"/>
      <w:pStyle w:val="CourtNoticeNumberLevel1"/>
      <w:lvlText w:val="%1."/>
      <w:lvlJc w:val="left"/>
      <w:pPr>
        <w:tabs>
          <w:tab w:val="num" w:pos="567"/>
        </w:tabs>
        <w:ind w:left="567" w:hanging="567"/>
      </w:pPr>
    </w:lvl>
    <w:lvl w:ilvl="1">
      <w:start w:val="1"/>
      <w:numFmt w:val="decimal"/>
      <w:pStyle w:val="CourtNoticeNumberLevel2"/>
      <w:lvlText w:val="%1.%2."/>
      <w:lvlJc w:val="left"/>
      <w:pPr>
        <w:tabs>
          <w:tab w:val="num" w:pos="1134"/>
        </w:tabs>
        <w:ind w:left="1134" w:hanging="567"/>
      </w:pPr>
    </w:lvl>
    <w:lvl w:ilvl="2">
      <w:start w:val="1"/>
      <w:numFmt w:val="decimal"/>
      <w:pStyle w:val="CourtNoticeNumberLevel3"/>
      <w:lvlText w:val="%1.%2.%3."/>
      <w:lvlJc w:val="left"/>
      <w:pPr>
        <w:tabs>
          <w:tab w:val="num" w:pos="1984"/>
        </w:tabs>
        <w:ind w:left="1984" w:hanging="850"/>
      </w:pPr>
    </w:lvl>
    <w:lvl w:ilvl="3">
      <w:start w:val="1"/>
      <w:numFmt w:val="decimal"/>
      <w:pStyle w:val="CourtNoticeNumberLevel4"/>
      <w:lvlText w:val="%1.%2.%3.%4."/>
      <w:lvlJc w:val="left"/>
      <w:pPr>
        <w:tabs>
          <w:tab w:val="num" w:pos="2835"/>
        </w:tabs>
        <w:ind w:left="2835" w:hanging="851"/>
      </w:pPr>
    </w:lvl>
    <w:lvl w:ilvl="4">
      <w:start w:val="1"/>
      <w:numFmt w:val="decimal"/>
      <w:pStyle w:val="CourtNoticeNumberLevel5"/>
      <w:lvlText w:val="%1.%2.%3.%4.%5."/>
      <w:lvlJc w:val="left"/>
      <w:pPr>
        <w:tabs>
          <w:tab w:val="num" w:pos="3969"/>
        </w:tabs>
        <w:ind w:left="3969" w:hanging="1134"/>
      </w:pPr>
    </w:lvl>
    <w:lvl w:ilvl="5">
      <w:start w:val="1"/>
      <w:numFmt w:val="decimal"/>
      <w:pStyle w:val="CourtNoticeNumberLevel6"/>
      <w:lvlText w:val="%1.%2.%3.%4.%5.%6."/>
      <w:lvlJc w:val="left"/>
      <w:pPr>
        <w:tabs>
          <w:tab w:val="num" w:pos="5102"/>
        </w:tabs>
        <w:ind w:left="5102" w:hanging="1133"/>
      </w:pPr>
    </w:lvl>
    <w:lvl w:ilvl="6">
      <w:start w:val="1"/>
      <w:numFmt w:val="decimal"/>
      <w:pStyle w:val="CourtNoticeNumberLevel7"/>
      <w:lvlText w:val="%1.%2.%3.%4.%5.%6.%7."/>
      <w:lvlJc w:val="left"/>
      <w:pPr>
        <w:tabs>
          <w:tab w:val="num" w:pos="6236"/>
        </w:tabs>
        <w:ind w:left="6236" w:hanging="1134"/>
      </w:pPr>
    </w:lvl>
    <w:lvl w:ilvl="7">
      <w:start w:val="1"/>
      <w:numFmt w:val="decimal"/>
      <w:pStyle w:val="CourtNoticeNumberLevel8"/>
      <w:lvlText w:val="%1.%2.%3.%4.%5.%6.%7.%8."/>
      <w:lvlJc w:val="left"/>
      <w:pPr>
        <w:tabs>
          <w:tab w:val="num" w:pos="7370"/>
        </w:tabs>
        <w:ind w:left="7370" w:hanging="1134"/>
      </w:pPr>
    </w:lvl>
    <w:lvl w:ilvl="8">
      <w:start w:val="1"/>
      <w:numFmt w:val="decimal"/>
      <w:pStyle w:val="CourtNoticeNumberLevel9"/>
      <w:lvlText w:val="%1.%2.%3.%4.%5.%6.%7.%8.%9."/>
      <w:lvlJc w:val="left"/>
      <w:pPr>
        <w:tabs>
          <w:tab w:val="num" w:pos="7370"/>
        </w:tabs>
        <w:ind w:left="7370" w:hanging="1134"/>
      </w:pPr>
    </w:lvl>
  </w:abstractNum>
  <w:abstractNum w:abstractNumId="53" w15:restartNumberingAfterBreak="0">
    <w:nsid w:val="7FF06D98"/>
    <w:multiLevelType w:val="hybridMultilevel"/>
    <w:tmpl w:val="535C53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6"/>
  </w:num>
  <w:num w:numId="2">
    <w:abstractNumId w:val="10"/>
  </w:num>
  <w:num w:numId="3">
    <w:abstractNumId w:val="53"/>
  </w:num>
  <w:num w:numId="4">
    <w:abstractNumId w:val="22"/>
  </w:num>
  <w:num w:numId="5">
    <w:abstractNumId w:val="50"/>
  </w:num>
  <w:num w:numId="6">
    <w:abstractNumId w:val="18"/>
  </w:num>
  <w:num w:numId="7">
    <w:abstractNumId w:val="32"/>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9"/>
  </w:num>
  <w:num w:numId="11">
    <w:abstractNumId w:val="17"/>
  </w:num>
  <w:num w:numId="12">
    <w:abstractNumId w:val="37"/>
  </w:num>
  <w:num w:numId="13">
    <w:abstractNumId w:val="39"/>
  </w:num>
  <w:num w:numId="14">
    <w:abstractNumId w:val="19"/>
  </w:num>
  <w:num w:numId="15">
    <w:abstractNumId w:val="44"/>
  </w:num>
  <w:num w:numId="16">
    <w:abstractNumId w:val="31"/>
  </w:num>
  <w:num w:numId="17">
    <w:abstractNumId w:val="4"/>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num>
  <w:num w:numId="20">
    <w:abstractNumId w:val="23"/>
  </w:num>
  <w:num w:numId="21">
    <w:abstractNumId w:val="20"/>
  </w:num>
  <w:num w:numId="22">
    <w:abstractNumId w:val="38"/>
  </w:num>
  <w:num w:numId="23">
    <w:abstractNumId w:val="36"/>
  </w:num>
  <w:num w:numId="24">
    <w:abstractNumId w:val="51"/>
  </w:num>
  <w:num w:numId="25">
    <w:abstractNumId w:val="33"/>
  </w:num>
  <w:num w:numId="26">
    <w:abstractNumId w:val="47"/>
  </w:num>
  <w:num w:numId="27">
    <w:abstractNumId w:val="15"/>
  </w:num>
  <w:num w:numId="28">
    <w:abstractNumId w:val="27"/>
  </w:num>
  <w:num w:numId="29">
    <w:abstractNumId w:val="29"/>
  </w:num>
  <w:num w:numId="30">
    <w:abstractNumId w:val="12"/>
  </w:num>
  <w:num w:numId="31">
    <w:abstractNumId w:val="16"/>
  </w:num>
  <w:num w:numId="32">
    <w:abstractNumId w:val="34"/>
  </w:num>
  <w:num w:numId="33">
    <w:abstractNumId w:val="13"/>
  </w:num>
  <w:num w:numId="34">
    <w:abstractNumId w:val="25"/>
  </w:num>
  <w:num w:numId="35">
    <w:abstractNumId w:val="30"/>
  </w:num>
  <w:num w:numId="36">
    <w:abstractNumId w:val="24"/>
  </w:num>
  <w:num w:numId="37">
    <w:abstractNumId w:val="14"/>
  </w:num>
  <w:num w:numId="38">
    <w:abstractNumId w:val="9"/>
  </w:num>
  <w:num w:numId="39">
    <w:abstractNumId w:val="7"/>
  </w:num>
  <w:num w:numId="40">
    <w:abstractNumId w:val="6"/>
  </w:num>
  <w:num w:numId="41">
    <w:abstractNumId w:val="5"/>
  </w:num>
  <w:num w:numId="42">
    <w:abstractNumId w:val="8"/>
  </w:num>
  <w:num w:numId="43">
    <w:abstractNumId w:val="3"/>
  </w:num>
  <w:num w:numId="44">
    <w:abstractNumId w:val="2"/>
  </w:num>
  <w:num w:numId="45">
    <w:abstractNumId w:val="1"/>
  </w:num>
  <w:num w:numId="46">
    <w:abstractNumId w:val="0"/>
  </w:num>
  <w:num w:numId="47">
    <w:abstractNumId w:val="40"/>
  </w:num>
  <w:num w:numId="48">
    <w:abstractNumId w:val="28"/>
  </w:num>
  <w:num w:numId="49">
    <w:abstractNumId w:val="48"/>
  </w:num>
  <w:num w:numId="50">
    <w:abstractNumId w:val="35"/>
  </w:num>
  <w:num w:numId="5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1"/>
  </w:num>
  <w:num w:numId="53">
    <w:abstractNumId w:val="46"/>
  </w:num>
  <w:num w:numId="54">
    <w:abstractNumId w:val="52"/>
  </w:num>
  <w:num w:numId="55">
    <w:abstractNumId w:val="4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3DF"/>
    <w:rsid w:val="00030303"/>
    <w:rsid w:val="00133C1E"/>
    <w:rsid w:val="001F7289"/>
    <w:rsid w:val="00356708"/>
    <w:rsid w:val="00523FA3"/>
    <w:rsid w:val="00537792"/>
    <w:rsid w:val="005C473C"/>
    <w:rsid w:val="00685BDC"/>
    <w:rsid w:val="00697284"/>
    <w:rsid w:val="007679B9"/>
    <w:rsid w:val="00854F32"/>
    <w:rsid w:val="008E1A69"/>
    <w:rsid w:val="009753DF"/>
    <w:rsid w:val="00987196"/>
    <w:rsid w:val="00AB22CB"/>
    <w:rsid w:val="00B859C7"/>
    <w:rsid w:val="00DC650D"/>
    <w:rsid w:val="00E71582"/>
    <w:rsid w:val="00EC2850"/>
    <w:rsid w:val="00EC6636"/>
    <w:rsid w:val="00FC1CC5"/>
    <w:rsid w:val="00FD2B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7AF14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9" w:unhideWhenUsed="1" w:qFormat="1"/>
    <w:lsdException w:name="heading 5" w:semiHidden="1" w:uiPriority="4"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5" w:unhideWhenUsed="1"/>
    <w:lsdException w:name="toc 6" w:semiHidden="1" w:uiPriority="35" w:unhideWhenUsed="1"/>
    <w:lsdException w:name="toc 7" w:semiHidden="1" w:uiPriority="35" w:unhideWhenUsed="1"/>
    <w:lsdException w:name="toc 8" w:semiHidden="1" w:uiPriority="35" w:unhideWhenUsed="1"/>
    <w:lsdException w:name="toc 9" w:semiHidden="1" w:uiPriority="35" w:unhideWhenUsed="1"/>
    <w:lsdException w:name="Normal Indent" w:semiHidden="1" w:unhideWhenUsed="1"/>
    <w:lsdException w:name="footnote text" w:semiHidden="1" w:uiPriority="31" w:unhideWhenUsed="1"/>
    <w:lsdException w:name="annotation text" w:semiHidden="1" w:unhideWhenUsed="1"/>
    <w:lsdException w:name="header" w:semiHidden="1" w:uiPriority="29" w:unhideWhenUsed="1"/>
    <w:lsdException w:name="footer" w:semiHidden="1" w:uiPriority="2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1" w:unhideWhenUsed="1"/>
    <w:lsdException w:name="annotation reference" w:semiHidden="1" w:unhideWhenUsed="1"/>
    <w:lsdException w:name="line number" w:semiHidden="1" w:unhideWhenUsed="1"/>
    <w:lsdException w:name="page number" w:semiHidden="1" w:unhideWhenUsed="1"/>
    <w:lsdException w:name="endnote reference" w:semiHidden="1" w:uiPriority="31" w:unhideWhenUsed="1"/>
    <w:lsdException w:name="endnote text" w:semiHidden="1" w:uiPriority="3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98"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8" w:unhideWhenUsed="1"/>
    <w:lsdException w:name="List Number 3" w:semiHidden="1" w:uiPriority="98" w:unhideWhenUsed="1"/>
    <w:lsdException w:name="List Number 4" w:semiHidden="1" w:uiPriority="98" w:unhideWhenUsed="1"/>
    <w:lsdException w:name="List Number 5" w:semiHidden="1" w:uiPriority="98" w:unhideWhenUsed="1"/>
    <w:lsdException w:name="Title" w:uiPriority="98"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8" w:qFormat="1"/>
    <w:lsdException w:name="Emphasis" w:uiPriority="9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8"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53DF"/>
    <w:pPr>
      <w:spacing w:after="200" w:line="276" w:lineRule="auto"/>
    </w:pPr>
    <w:rPr>
      <w:rFonts w:ascii="Calibri" w:eastAsia="Calibri" w:hAnsi="Calibri" w:cs="Calibri"/>
      <w:w w:val="105"/>
      <w:kern w:val="40"/>
    </w:rPr>
  </w:style>
  <w:style w:type="paragraph" w:styleId="Heading1">
    <w:name w:val="heading 1"/>
    <w:basedOn w:val="Normal"/>
    <w:next w:val="Normal"/>
    <w:link w:val="Heading1Char"/>
    <w:uiPriority w:val="4"/>
    <w:qFormat/>
    <w:rsid w:val="009753DF"/>
    <w:pPr>
      <w:keepNext/>
      <w:numPr>
        <w:numId w:val="1"/>
      </w:numPr>
      <w:spacing w:after="0" w:line="240" w:lineRule="auto"/>
      <w:outlineLvl w:val="0"/>
    </w:pPr>
    <w:rPr>
      <w:rFonts w:eastAsia="SimSun" w:cs="Angsana New"/>
      <w:b/>
      <w:bCs/>
      <w:kern w:val="32"/>
      <w:sz w:val="52"/>
      <w:szCs w:val="52"/>
      <w:lang w:val="en-GB"/>
    </w:rPr>
  </w:style>
  <w:style w:type="paragraph" w:styleId="Heading2">
    <w:name w:val="heading 2"/>
    <w:basedOn w:val="Normal"/>
    <w:next w:val="Normal"/>
    <w:link w:val="Heading2Char"/>
    <w:uiPriority w:val="4"/>
    <w:unhideWhenUsed/>
    <w:qFormat/>
    <w:rsid w:val="0003030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4"/>
    <w:unhideWhenUsed/>
    <w:qFormat/>
    <w:rsid w:val="009753DF"/>
    <w:pPr>
      <w:keepNext/>
      <w:numPr>
        <w:ilvl w:val="2"/>
        <w:numId w:val="1"/>
      </w:numPr>
      <w:tabs>
        <w:tab w:val="clear" w:pos="1276"/>
      </w:tabs>
      <w:spacing w:before="200" w:after="60" w:line="240" w:lineRule="auto"/>
      <w:ind w:left="851" w:hanging="851"/>
      <w:outlineLvl w:val="2"/>
    </w:pPr>
    <w:rPr>
      <w:rFonts w:eastAsia="SimSun" w:cs="Angsana New"/>
      <w:b/>
      <w:bCs/>
      <w:color w:val="404040"/>
      <w:sz w:val="32"/>
      <w:szCs w:val="32"/>
      <w:lang w:eastAsia="en-AU"/>
    </w:rPr>
  </w:style>
  <w:style w:type="paragraph" w:styleId="Heading4">
    <w:name w:val="heading 4"/>
    <w:basedOn w:val="Normal"/>
    <w:next w:val="Normal"/>
    <w:link w:val="Heading4Char"/>
    <w:uiPriority w:val="9"/>
    <w:unhideWhenUsed/>
    <w:qFormat/>
    <w:rsid w:val="00030303"/>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4"/>
    <w:unhideWhenUsed/>
    <w:qFormat/>
    <w:rsid w:val="009753DF"/>
    <w:pPr>
      <w:numPr>
        <w:ilvl w:val="4"/>
        <w:numId w:val="1"/>
      </w:numPr>
      <w:tabs>
        <w:tab w:val="clear" w:pos="2126"/>
        <w:tab w:val="num" w:pos="851"/>
      </w:tabs>
      <w:ind w:left="851" w:hanging="851"/>
      <w:outlineLvl w:val="4"/>
    </w:pPr>
    <w:rPr>
      <w:rFonts w:ascii="Calibri Light" w:hAnsi="Calibri Light" w:cs="Calibri Light"/>
      <w:b/>
    </w:rPr>
  </w:style>
  <w:style w:type="paragraph" w:styleId="Heading6">
    <w:name w:val="heading 6"/>
    <w:basedOn w:val="Normal"/>
    <w:next w:val="Normal"/>
    <w:link w:val="Heading6Char1"/>
    <w:uiPriority w:val="9"/>
    <w:unhideWhenUsed/>
    <w:qFormat/>
    <w:rsid w:val="00030303"/>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030303"/>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1"/>
    <w:uiPriority w:val="9"/>
    <w:semiHidden/>
    <w:unhideWhenUsed/>
    <w:qFormat/>
    <w:rsid w:val="0003030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1"/>
    <w:uiPriority w:val="9"/>
    <w:semiHidden/>
    <w:unhideWhenUsed/>
    <w:qFormat/>
    <w:rsid w:val="0003030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4"/>
    <w:rsid w:val="009753DF"/>
    <w:rPr>
      <w:rFonts w:ascii="Calibri" w:eastAsia="SimSun" w:hAnsi="Calibri" w:cs="Angsana New"/>
      <w:b/>
      <w:bCs/>
      <w:w w:val="105"/>
      <w:kern w:val="32"/>
      <w:sz w:val="52"/>
      <w:szCs w:val="52"/>
      <w:lang w:val="en-GB"/>
    </w:rPr>
  </w:style>
  <w:style w:type="character" w:customStyle="1" w:styleId="Heading3Char">
    <w:name w:val="Heading 3 Char"/>
    <w:basedOn w:val="DefaultParagraphFont"/>
    <w:link w:val="Heading3"/>
    <w:uiPriority w:val="4"/>
    <w:rsid w:val="009753DF"/>
    <w:rPr>
      <w:rFonts w:ascii="Calibri" w:eastAsia="SimSun" w:hAnsi="Calibri" w:cs="Angsana New"/>
      <w:b/>
      <w:bCs/>
      <w:color w:val="404040"/>
      <w:w w:val="105"/>
      <w:kern w:val="40"/>
      <w:sz w:val="32"/>
      <w:szCs w:val="32"/>
      <w:lang w:eastAsia="en-AU"/>
    </w:rPr>
  </w:style>
  <w:style w:type="character" w:customStyle="1" w:styleId="Heading5Char">
    <w:name w:val="Heading 5 Char"/>
    <w:basedOn w:val="DefaultParagraphFont"/>
    <w:link w:val="Heading5"/>
    <w:uiPriority w:val="4"/>
    <w:rsid w:val="009753DF"/>
    <w:rPr>
      <w:rFonts w:ascii="Calibri Light" w:eastAsia="Calibri" w:hAnsi="Calibri Light" w:cs="Calibri Light"/>
      <w:b/>
      <w:w w:val="105"/>
      <w:kern w:val="40"/>
    </w:rPr>
  </w:style>
  <w:style w:type="paragraph" w:styleId="ListParagraph">
    <w:name w:val="List Paragraph"/>
    <w:basedOn w:val="Normal"/>
    <w:uiPriority w:val="34"/>
    <w:qFormat/>
    <w:rsid w:val="009753DF"/>
    <w:pPr>
      <w:ind w:left="720"/>
      <w:contextualSpacing/>
    </w:pPr>
  </w:style>
  <w:style w:type="paragraph" w:customStyle="1" w:styleId="Heading41">
    <w:name w:val="Heading 41"/>
    <w:basedOn w:val="Normal"/>
    <w:next w:val="Normal"/>
    <w:uiPriority w:val="4"/>
    <w:unhideWhenUsed/>
    <w:qFormat/>
    <w:rsid w:val="009753DF"/>
    <w:pPr>
      <w:keepNext/>
      <w:keepLines/>
      <w:numPr>
        <w:ilvl w:val="3"/>
        <w:numId w:val="1"/>
      </w:numPr>
      <w:tabs>
        <w:tab w:val="clear" w:pos="1701"/>
        <w:tab w:val="num" w:pos="851"/>
      </w:tabs>
      <w:spacing w:before="40" w:after="0"/>
      <w:ind w:left="851" w:hanging="850"/>
      <w:outlineLvl w:val="3"/>
    </w:pPr>
    <w:rPr>
      <w:rFonts w:ascii="Calibri Light" w:eastAsia="Times New Roman" w:hAnsi="Calibri Light" w:cs="Times New Roman"/>
      <w:b/>
      <w:i/>
      <w:iCs/>
      <w:lang w:val="en-GB"/>
    </w:rPr>
  </w:style>
  <w:style w:type="paragraph" w:customStyle="1" w:styleId="Heading61">
    <w:name w:val="Heading 61"/>
    <w:basedOn w:val="Normal"/>
    <w:next w:val="Normal"/>
    <w:uiPriority w:val="4"/>
    <w:unhideWhenUsed/>
    <w:qFormat/>
    <w:rsid w:val="009753DF"/>
    <w:pPr>
      <w:keepNext/>
      <w:keepLines/>
      <w:numPr>
        <w:ilvl w:val="5"/>
        <w:numId w:val="1"/>
      </w:numPr>
      <w:tabs>
        <w:tab w:val="clear" w:pos="2551"/>
        <w:tab w:val="num" w:pos="1"/>
      </w:tabs>
      <w:spacing w:before="40" w:after="0"/>
      <w:ind w:left="0" w:firstLine="1"/>
      <w:outlineLvl w:val="5"/>
    </w:pPr>
    <w:rPr>
      <w:rFonts w:ascii="Calibri Light" w:eastAsia="Times New Roman" w:hAnsi="Calibri Light" w:cs="Times New Roman"/>
      <w:color w:val="1F4D78"/>
    </w:rPr>
  </w:style>
  <w:style w:type="paragraph" w:customStyle="1" w:styleId="Heading71">
    <w:name w:val="Heading 71"/>
    <w:basedOn w:val="Normal"/>
    <w:next w:val="Normal"/>
    <w:uiPriority w:val="4"/>
    <w:unhideWhenUsed/>
    <w:qFormat/>
    <w:rsid w:val="009753DF"/>
    <w:pPr>
      <w:keepNext/>
      <w:keepLines/>
      <w:numPr>
        <w:ilvl w:val="6"/>
        <w:numId w:val="1"/>
      </w:numPr>
      <w:spacing w:before="40" w:after="0"/>
      <w:ind w:left="425"/>
      <w:outlineLvl w:val="6"/>
    </w:pPr>
    <w:rPr>
      <w:rFonts w:ascii="Calibri Light" w:eastAsia="Times New Roman" w:hAnsi="Calibri Light" w:cs="Times New Roman"/>
      <w:i/>
      <w:iCs/>
      <w:color w:val="1F4D78"/>
    </w:rPr>
  </w:style>
  <w:style w:type="paragraph" w:customStyle="1" w:styleId="Paragraph">
    <w:name w:val="Paragraph"/>
    <w:basedOn w:val="Normal"/>
    <w:rsid w:val="009753DF"/>
    <w:pPr>
      <w:numPr>
        <w:ilvl w:val="12"/>
      </w:numPr>
      <w:spacing w:before="240" w:after="0" w:line="240" w:lineRule="auto"/>
    </w:pPr>
    <w:rPr>
      <w:rFonts w:ascii="Times New Roman" w:eastAsia="Times New Roman" w:hAnsi="Times New Roman" w:cs="Times New Roman"/>
      <w:w w:val="100"/>
      <w:kern w:val="0"/>
      <w:sz w:val="24"/>
      <w:szCs w:val="20"/>
      <w:lang w:eastAsia="en-AU"/>
    </w:rPr>
  </w:style>
  <w:style w:type="character" w:customStyle="1" w:styleId="Heading2Char">
    <w:name w:val="Heading 2 Char"/>
    <w:basedOn w:val="DefaultParagraphFont"/>
    <w:link w:val="Heading2"/>
    <w:uiPriority w:val="4"/>
    <w:rsid w:val="00030303"/>
    <w:rPr>
      <w:rFonts w:asciiTheme="majorHAnsi" w:eastAsiaTheme="majorEastAsia" w:hAnsiTheme="majorHAnsi" w:cstheme="majorBidi"/>
      <w:color w:val="2F5496" w:themeColor="accent1" w:themeShade="BF"/>
      <w:w w:val="105"/>
      <w:kern w:val="40"/>
      <w:sz w:val="26"/>
      <w:szCs w:val="26"/>
    </w:rPr>
  </w:style>
  <w:style w:type="character" w:customStyle="1" w:styleId="Heading6Char">
    <w:name w:val="Heading 6 Char"/>
    <w:basedOn w:val="DefaultParagraphFont"/>
    <w:uiPriority w:val="4"/>
    <w:rsid w:val="00030303"/>
    <w:rPr>
      <w:rFonts w:asciiTheme="majorHAnsi" w:eastAsiaTheme="majorEastAsia" w:hAnsiTheme="majorHAnsi" w:cstheme="majorBidi"/>
      <w:color w:val="1F3763" w:themeColor="accent1" w:themeShade="7F"/>
      <w:w w:val="105"/>
      <w:kern w:val="40"/>
    </w:rPr>
  </w:style>
  <w:style w:type="paragraph" w:styleId="FootnoteText">
    <w:name w:val="footnote text"/>
    <w:basedOn w:val="Normal"/>
    <w:link w:val="FootnoteTextChar"/>
    <w:uiPriority w:val="31"/>
    <w:unhideWhenUsed/>
    <w:rsid w:val="00030303"/>
    <w:pPr>
      <w:spacing w:after="0" w:line="240" w:lineRule="auto"/>
    </w:pPr>
    <w:rPr>
      <w:sz w:val="20"/>
      <w:szCs w:val="20"/>
    </w:rPr>
  </w:style>
  <w:style w:type="character" w:customStyle="1" w:styleId="FootnoteTextChar">
    <w:name w:val="Footnote Text Char"/>
    <w:basedOn w:val="DefaultParagraphFont"/>
    <w:link w:val="FootnoteText"/>
    <w:uiPriority w:val="31"/>
    <w:rsid w:val="00030303"/>
    <w:rPr>
      <w:rFonts w:ascii="Calibri" w:eastAsia="Calibri" w:hAnsi="Calibri" w:cs="Calibri"/>
      <w:w w:val="105"/>
      <w:kern w:val="40"/>
      <w:sz w:val="20"/>
      <w:szCs w:val="20"/>
    </w:rPr>
  </w:style>
  <w:style w:type="character" w:styleId="FootnoteReference">
    <w:name w:val="footnote reference"/>
    <w:basedOn w:val="DefaultParagraphFont"/>
    <w:uiPriority w:val="31"/>
    <w:unhideWhenUsed/>
    <w:rsid w:val="00030303"/>
    <w:rPr>
      <w:vertAlign w:val="superscript"/>
    </w:rPr>
  </w:style>
  <w:style w:type="character" w:customStyle="1" w:styleId="Heading6Char1">
    <w:name w:val="Heading 6 Char1"/>
    <w:basedOn w:val="DefaultParagraphFont"/>
    <w:link w:val="Heading6"/>
    <w:uiPriority w:val="9"/>
    <w:rsid w:val="00030303"/>
    <w:rPr>
      <w:rFonts w:asciiTheme="majorHAnsi" w:eastAsiaTheme="majorEastAsia" w:hAnsiTheme="majorHAnsi" w:cstheme="majorBidi"/>
      <w:color w:val="1F3763" w:themeColor="accent1" w:themeShade="7F"/>
      <w:w w:val="105"/>
      <w:kern w:val="40"/>
    </w:rPr>
  </w:style>
  <w:style w:type="table" w:customStyle="1" w:styleId="TableGrid2">
    <w:name w:val="Table Grid2"/>
    <w:basedOn w:val="TableNormal"/>
    <w:rsid w:val="00030303"/>
    <w:pPr>
      <w:spacing w:after="0" w:line="240" w:lineRule="auto"/>
    </w:pPr>
    <w:rPr>
      <w:rFonts w:ascii="Arial" w:eastAsia="Times New Roman" w:hAnsi="Arial" w:cs="Times New Roman"/>
      <w:sz w:val="20"/>
      <w:szCs w:val="20"/>
    </w:rPr>
    <w:tblPr>
      <w:tblInd w:w="0" w:type="nil"/>
    </w:tblPr>
    <w:tcPr>
      <w:vAlign w:val="center"/>
    </w:tcPr>
  </w:style>
  <w:style w:type="table" w:customStyle="1" w:styleId="TableGrid3">
    <w:name w:val="Table Grid3"/>
    <w:basedOn w:val="TableNormal"/>
    <w:next w:val="TableGrid"/>
    <w:uiPriority w:val="39"/>
    <w:rsid w:val="00030303"/>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Footer">
    <w:name w:val="footer"/>
    <w:basedOn w:val="Normal"/>
    <w:link w:val="FooterChar"/>
    <w:uiPriority w:val="29"/>
    <w:unhideWhenUsed/>
    <w:rsid w:val="00030303"/>
    <w:pPr>
      <w:tabs>
        <w:tab w:val="center" w:pos="4513"/>
        <w:tab w:val="right" w:pos="9026"/>
      </w:tabs>
      <w:spacing w:after="0" w:line="240" w:lineRule="auto"/>
    </w:pPr>
  </w:style>
  <w:style w:type="character" w:customStyle="1" w:styleId="FooterChar">
    <w:name w:val="Footer Char"/>
    <w:basedOn w:val="DefaultParagraphFont"/>
    <w:link w:val="Footer"/>
    <w:uiPriority w:val="29"/>
    <w:rsid w:val="00030303"/>
    <w:rPr>
      <w:rFonts w:ascii="Calibri" w:eastAsia="Calibri" w:hAnsi="Calibri" w:cs="Calibri"/>
      <w:w w:val="105"/>
      <w:kern w:val="40"/>
    </w:rPr>
  </w:style>
  <w:style w:type="table" w:styleId="TableGrid">
    <w:name w:val="Table Grid"/>
    <w:basedOn w:val="TableNormal"/>
    <w:uiPriority w:val="39"/>
    <w:rsid w:val="000303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29"/>
    <w:unhideWhenUsed/>
    <w:rsid w:val="00030303"/>
    <w:pPr>
      <w:tabs>
        <w:tab w:val="center" w:pos="4513"/>
        <w:tab w:val="right" w:pos="9026"/>
      </w:tabs>
      <w:spacing w:after="0" w:line="240" w:lineRule="auto"/>
    </w:pPr>
  </w:style>
  <w:style w:type="character" w:customStyle="1" w:styleId="HeaderChar">
    <w:name w:val="Header Char"/>
    <w:basedOn w:val="DefaultParagraphFont"/>
    <w:link w:val="Header"/>
    <w:uiPriority w:val="29"/>
    <w:rsid w:val="00030303"/>
    <w:rPr>
      <w:rFonts w:ascii="Calibri" w:eastAsia="Calibri" w:hAnsi="Calibri" w:cs="Calibri"/>
      <w:w w:val="105"/>
      <w:kern w:val="40"/>
    </w:rPr>
  </w:style>
  <w:style w:type="character" w:styleId="Emphasis">
    <w:name w:val="Emphasis"/>
    <w:basedOn w:val="DefaultParagraphFont"/>
    <w:uiPriority w:val="98"/>
    <w:qFormat/>
    <w:rsid w:val="00030303"/>
    <w:rPr>
      <w:i/>
      <w:iCs/>
    </w:rPr>
  </w:style>
  <w:style w:type="paragraph" w:styleId="NormalWeb">
    <w:name w:val="Normal (Web)"/>
    <w:basedOn w:val="Normal"/>
    <w:uiPriority w:val="99"/>
    <w:semiHidden/>
    <w:unhideWhenUsed/>
    <w:rsid w:val="00030303"/>
    <w:pPr>
      <w:spacing w:before="100" w:beforeAutospacing="1" w:after="100" w:afterAutospacing="1" w:line="240" w:lineRule="auto"/>
    </w:pPr>
    <w:rPr>
      <w:rFonts w:ascii="Times New Roman" w:eastAsia="Times New Roman" w:hAnsi="Times New Roman" w:cs="Times New Roman"/>
      <w:w w:val="100"/>
      <w:kern w:val="0"/>
      <w:sz w:val="24"/>
      <w:szCs w:val="24"/>
      <w:lang w:eastAsia="en-AU"/>
    </w:rPr>
  </w:style>
  <w:style w:type="character" w:customStyle="1" w:styleId="Heading4Char">
    <w:name w:val="Heading 4 Char"/>
    <w:basedOn w:val="DefaultParagraphFont"/>
    <w:link w:val="Heading4"/>
    <w:uiPriority w:val="4"/>
    <w:rsid w:val="00030303"/>
    <w:rPr>
      <w:rFonts w:asciiTheme="majorHAnsi" w:eastAsiaTheme="majorEastAsia" w:hAnsiTheme="majorHAnsi" w:cstheme="majorBidi"/>
      <w:i/>
      <w:iCs/>
      <w:color w:val="2F5496" w:themeColor="accent1" w:themeShade="BF"/>
      <w:w w:val="105"/>
      <w:kern w:val="40"/>
    </w:rPr>
  </w:style>
  <w:style w:type="character" w:customStyle="1" w:styleId="Heading7Char">
    <w:name w:val="Heading 7 Char"/>
    <w:basedOn w:val="DefaultParagraphFont"/>
    <w:link w:val="Heading7"/>
    <w:uiPriority w:val="4"/>
    <w:rsid w:val="00030303"/>
    <w:rPr>
      <w:rFonts w:asciiTheme="majorHAnsi" w:eastAsiaTheme="majorEastAsia" w:hAnsiTheme="majorHAnsi" w:cstheme="majorBidi"/>
      <w:i/>
      <w:iCs/>
      <w:color w:val="1F3763" w:themeColor="accent1" w:themeShade="7F"/>
      <w:w w:val="105"/>
      <w:kern w:val="40"/>
    </w:rPr>
  </w:style>
  <w:style w:type="character" w:customStyle="1" w:styleId="Heading8Char">
    <w:name w:val="Heading 8 Char"/>
    <w:basedOn w:val="DefaultParagraphFont"/>
    <w:link w:val="Heading81"/>
    <w:uiPriority w:val="9"/>
    <w:semiHidden/>
    <w:rsid w:val="00030303"/>
    <w:rPr>
      <w:rFonts w:asciiTheme="majorHAnsi" w:eastAsiaTheme="majorEastAsia" w:hAnsiTheme="majorHAnsi" w:cstheme="majorBidi"/>
      <w:color w:val="272727" w:themeColor="text1" w:themeTint="D8"/>
      <w:w w:val="105"/>
      <w:kern w:val="40"/>
      <w:sz w:val="21"/>
      <w:szCs w:val="21"/>
    </w:rPr>
  </w:style>
  <w:style w:type="character" w:customStyle="1" w:styleId="Heading9Char">
    <w:name w:val="Heading 9 Char"/>
    <w:basedOn w:val="DefaultParagraphFont"/>
    <w:link w:val="Heading91"/>
    <w:uiPriority w:val="9"/>
    <w:semiHidden/>
    <w:rsid w:val="00030303"/>
    <w:rPr>
      <w:rFonts w:asciiTheme="majorHAnsi" w:eastAsiaTheme="majorEastAsia" w:hAnsiTheme="majorHAnsi" w:cstheme="majorBidi"/>
      <w:i/>
      <w:iCs/>
      <w:color w:val="272727" w:themeColor="text1" w:themeTint="D8"/>
      <w:w w:val="105"/>
      <w:kern w:val="40"/>
      <w:sz w:val="21"/>
      <w:szCs w:val="21"/>
    </w:rPr>
  </w:style>
  <w:style w:type="paragraph" w:styleId="CommentText">
    <w:name w:val="annotation text"/>
    <w:basedOn w:val="Normal"/>
    <w:link w:val="CommentTextChar"/>
    <w:uiPriority w:val="99"/>
    <w:semiHidden/>
    <w:unhideWhenUsed/>
    <w:rsid w:val="00030303"/>
    <w:pPr>
      <w:spacing w:line="240" w:lineRule="auto"/>
    </w:pPr>
    <w:rPr>
      <w:sz w:val="20"/>
      <w:szCs w:val="20"/>
    </w:rPr>
  </w:style>
  <w:style w:type="character" w:customStyle="1" w:styleId="CommentTextChar">
    <w:name w:val="Comment Text Char"/>
    <w:basedOn w:val="DefaultParagraphFont"/>
    <w:link w:val="CommentText"/>
    <w:uiPriority w:val="99"/>
    <w:semiHidden/>
    <w:rsid w:val="00030303"/>
    <w:rPr>
      <w:rFonts w:ascii="Calibri" w:eastAsia="Calibri" w:hAnsi="Calibri" w:cs="Calibri"/>
      <w:w w:val="105"/>
      <w:kern w:val="40"/>
      <w:sz w:val="20"/>
      <w:szCs w:val="20"/>
    </w:rPr>
  </w:style>
  <w:style w:type="character" w:styleId="CommentReference">
    <w:name w:val="annotation reference"/>
    <w:basedOn w:val="DefaultParagraphFont"/>
    <w:uiPriority w:val="99"/>
    <w:semiHidden/>
    <w:unhideWhenUsed/>
    <w:rsid w:val="00030303"/>
    <w:rPr>
      <w:sz w:val="16"/>
      <w:szCs w:val="16"/>
    </w:rPr>
  </w:style>
  <w:style w:type="paragraph" w:styleId="BalloonText">
    <w:name w:val="Balloon Text"/>
    <w:basedOn w:val="Normal"/>
    <w:link w:val="BalloonTextChar"/>
    <w:uiPriority w:val="99"/>
    <w:semiHidden/>
    <w:unhideWhenUsed/>
    <w:rsid w:val="000303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303"/>
    <w:rPr>
      <w:rFonts w:ascii="Segoe UI" w:eastAsia="Calibri" w:hAnsi="Segoe UI" w:cs="Segoe UI"/>
      <w:w w:val="105"/>
      <w:kern w:val="40"/>
      <w:sz w:val="18"/>
      <w:szCs w:val="18"/>
    </w:rPr>
  </w:style>
  <w:style w:type="paragraph" w:customStyle="1" w:styleId="Heading81">
    <w:name w:val="Heading 81"/>
    <w:basedOn w:val="Normal"/>
    <w:next w:val="Normal"/>
    <w:link w:val="Heading8Char"/>
    <w:uiPriority w:val="9"/>
    <w:semiHidden/>
    <w:unhideWhenUsed/>
    <w:qFormat/>
    <w:rsid w:val="00030303"/>
    <w:pPr>
      <w:keepNext/>
      <w:keepLines/>
      <w:tabs>
        <w:tab w:val="num" w:pos="3402"/>
      </w:tabs>
      <w:spacing w:before="40" w:after="0"/>
      <w:ind w:left="3402" w:hanging="426"/>
      <w:outlineLvl w:val="7"/>
    </w:pPr>
    <w:rPr>
      <w:rFonts w:asciiTheme="majorHAnsi" w:eastAsiaTheme="majorEastAsia" w:hAnsiTheme="majorHAnsi" w:cstheme="majorBidi"/>
      <w:color w:val="272727" w:themeColor="text1" w:themeTint="D8"/>
      <w:sz w:val="21"/>
      <w:szCs w:val="21"/>
    </w:rPr>
  </w:style>
  <w:style w:type="paragraph" w:customStyle="1" w:styleId="Heading91">
    <w:name w:val="Heading 91"/>
    <w:basedOn w:val="Normal"/>
    <w:next w:val="Normal"/>
    <w:link w:val="Heading9Char"/>
    <w:uiPriority w:val="9"/>
    <w:semiHidden/>
    <w:unhideWhenUsed/>
    <w:qFormat/>
    <w:rsid w:val="00030303"/>
    <w:pPr>
      <w:keepNext/>
      <w:keepLines/>
      <w:tabs>
        <w:tab w:val="num" w:pos="3827"/>
      </w:tabs>
      <w:spacing w:before="40" w:after="0"/>
      <w:ind w:left="3827" w:hanging="425"/>
      <w:outlineLvl w:val="8"/>
    </w:pPr>
    <w:rPr>
      <w:rFonts w:asciiTheme="majorHAnsi" w:eastAsiaTheme="majorEastAsia" w:hAnsiTheme="majorHAnsi" w:cstheme="majorBidi"/>
      <w:i/>
      <w:iCs/>
      <w:color w:val="272727" w:themeColor="text1" w:themeTint="D8"/>
      <w:sz w:val="21"/>
      <w:szCs w:val="21"/>
    </w:rPr>
  </w:style>
  <w:style w:type="numbering" w:customStyle="1" w:styleId="NoList1">
    <w:name w:val="No List1"/>
    <w:next w:val="NoList"/>
    <w:uiPriority w:val="99"/>
    <w:semiHidden/>
    <w:unhideWhenUsed/>
    <w:rsid w:val="00030303"/>
  </w:style>
  <w:style w:type="paragraph" w:styleId="CommentSubject">
    <w:name w:val="annotation subject"/>
    <w:basedOn w:val="CommentText"/>
    <w:next w:val="CommentText"/>
    <w:link w:val="CommentSubjectChar"/>
    <w:uiPriority w:val="99"/>
    <w:semiHidden/>
    <w:unhideWhenUsed/>
    <w:rsid w:val="00030303"/>
    <w:rPr>
      <w:b/>
      <w:bCs/>
    </w:rPr>
  </w:style>
  <w:style w:type="character" w:customStyle="1" w:styleId="CommentSubjectChar">
    <w:name w:val="Comment Subject Char"/>
    <w:basedOn w:val="CommentTextChar"/>
    <w:link w:val="CommentSubject"/>
    <w:uiPriority w:val="99"/>
    <w:semiHidden/>
    <w:rsid w:val="00030303"/>
    <w:rPr>
      <w:rFonts w:ascii="Calibri" w:eastAsia="Calibri" w:hAnsi="Calibri" w:cs="Calibri"/>
      <w:b/>
      <w:bCs/>
      <w:w w:val="105"/>
      <w:kern w:val="40"/>
      <w:sz w:val="20"/>
      <w:szCs w:val="20"/>
    </w:rPr>
  </w:style>
  <w:style w:type="paragraph" w:styleId="Title">
    <w:name w:val="Title"/>
    <w:basedOn w:val="Normal"/>
    <w:next w:val="Normal"/>
    <w:link w:val="TitleChar"/>
    <w:uiPriority w:val="98"/>
    <w:qFormat/>
    <w:rsid w:val="00030303"/>
    <w:pPr>
      <w:spacing w:before="240" w:after="60" w:line="240" w:lineRule="auto"/>
      <w:jc w:val="center"/>
      <w:outlineLvl w:val="0"/>
    </w:pPr>
    <w:rPr>
      <w:rFonts w:ascii="Cambria" w:eastAsia="Times New Roman" w:hAnsi="Cambria" w:cs="Times New Roman"/>
      <w:b/>
      <w:bCs/>
      <w:kern w:val="28"/>
      <w:sz w:val="32"/>
      <w:szCs w:val="32"/>
      <w:lang w:eastAsia="en-AU"/>
    </w:rPr>
  </w:style>
  <w:style w:type="character" w:customStyle="1" w:styleId="TitleChar">
    <w:name w:val="Title Char"/>
    <w:basedOn w:val="DefaultParagraphFont"/>
    <w:link w:val="Title"/>
    <w:uiPriority w:val="98"/>
    <w:rsid w:val="00030303"/>
    <w:rPr>
      <w:rFonts w:ascii="Cambria" w:eastAsia="Times New Roman" w:hAnsi="Cambria" w:cs="Times New Roman"/>
      <w:b/>
      <w:bCs/>
      <w:w w:val="105"/>
      <w:kern w:val="28"/>
      <w:sz w:val="32"/>
      <w:szCs w:val="32"/>
      <w:lang w:eastAsia="en-AU"/>
    </w:rPr>
  </w:style>
  <w:style w:type="paragraph" w:customStyle="1" w:styleId="TOCHeading1">
    <w:name w:val="TOC Heading1"/>
    <w:basedOn w:val="Heading1"/>
    <w:next w:val="Normal"/>
    <w:uiPriority w:val="35"/>
    <w:unhideWhenUsed/>
    <w:qFormat/>
    <w:rsid w:val="00030303"/>
    <w:pPr>
      <w:keepLines/>
      <w:numPr>
        <w:numId w:val="0"/>
      </w:numPr>
      <w:tabs>
        <w:tab w:val="num" w:pos="1492"/>
      </w:tabs>
      <w:spacing w:before="480" w:line="276" w:lineRule="auto"/>
      <w:ind w:left="1492" w:hanging="360"/>
      <w:outlineLvl w:val="9"/>
    </w:pPr>
    <w:rPr>
      <w:rFonts w:ascii="Calibri Light" w:eastAsia="Times New Roman" w:hAnsi="Calibri Light" w:cs="Times New Roman"/>
      <w:color w:val="2E74B5"/>
      <w:w w:val="100"/>
      <w:kern w:val="0"/>
      <w:sz w:val="28"/>
      <w:szCs w:val="28"/>
      <w:lang w:val="en-US" w:eastAsia="ja-JP"/>
    </w:rPr>
  </w:style>
  <w:style w:type="paragraph" w:styleId="TOC2">
    <w:name w:val="toc 2"/>
    <w:basedOn w:val="Normal"/>
    <w:next w:val="Normal"/>
    <w:autoRedefine/>
    <w:uiPriority w:val="39"/>
    <w:unhideWhenUsed/>
    <w:rsid w:val="00030303"/>
    <w:pPr>
      <w:tabs>
        <w:tab w:val="right" w:leader="dot" w:pos="9350"/>
      </w:tabs>
      <w:spacing w:after="100"/>
      <w:ind w:left="220"/>
    </w:pPr>
  </w:style>
  <w:style w:type="character" w:customStyle="1" w:styleId="Hyperlink1">
    <w:name w:val="Hyperlink1"/>
    <w:basedOn w:val="DefaultParagraphFont"/>
    <w:uiPriority w:val="99"/>
    <w:unhideWhenUsed/>
    <w:rsid w:val="00030303"/>
    <w:rPr>
      <w:color w:val="0563C1"/>
      <w:u w:val="single"/>
    </w:rPr>
  </w:style>
  <w:style w:type="paragraph" w:styleId="TOC1">
    <w:name w:val="toc 1"/>
    <w:basedOn w:val="Normal"/>
    <w:next w:val="Normal"/>
    <w:autoRedefine/>
    <w:uiPriority w:val="39"/>
    <w:unhideWhenUsed/>
    <w:rsid w:val="00030303"/>
    <w:pPr>
      <w:spacing w:after="100"/>
    </w:pPr>
  </w:style>
  <w:style w:type="paragraph" w:styleId="TOC3">
    <w:name w:val="toc 3"/>
    <w:basedOn w:val="Normal"/>
    <w:next w:val="Normal"/>
    <w:autoRedefine/>
    <w:uiPriority w:val="39"/>
    <w:unhideWhenUsed/>
    <w:rsid w:val="00030303"/>
    <w:pPr>
      <w:spacing w:after="100"/>
      <w:ind w:left="440"/>
    </w:pPr>
  </w:style>
  <w:style w:type="paragraph" w:customStyle="1" w:styleId="NumberLevel1">
    <w:name w:val="Number Level 1"/>
    <w:aliases w:val="N1,hea Level 1,Numberanswer Level 1,N,indentl 1,Number leg2 1,answerer Level 1"/>
    <w:basedOn w:val="Normal"/>
    <w:uiPriority w:val="1"/>
    <w:rsid w:val="00030303"/>
    <w:pPr>
      <w:numPr>
        <w:numId w:val="14"/>
      </w:numPr>
      <w:spacing w:before="140" w:after="140" w:line="280" w:lineRule="atLeast"/>
    </w:pPr>
    <w:rPr>
      <w:rFonts w:ascii="Arial" w:eastAsia="Times New Roman" w:hAnsi="Arial" w:cs="Arial"/>
      <w:w w:val="100"/>
      <w:kern w:val="0"/>
      <w:lang w:eastAsia="en-AU"/>
    </w:rPr>
  </w:style>
  <w:style w:type="paragraph" w:customStyle="1" w:styleId="NumberLevel2">
    <w:name w:val="Number Level 2"/>
    <w:aliases w:val="N2,authorising the Number Level 2"/>
    <w:basedOn w:val="Normal"/>
    <w:uiPriority w:val="1"/>
    <w:rsid w:val="00030303"/>
    <w:pPr>
      <w:numPr>
        <w:ilvl w:val="1"/>
        <w:numId w:val="14"/>
      </w:numPr>
      <w:spacing w:before="140" w:after="140" w:line="280" w:lineRule="atLeast"/>
    </w:pPr>
    <w:rPr>
      <w:rFonts w:ascii="Arial" w:eastAsia="Times New Roman" w:hAnsi="Arial" w:cs="Arial"/>
      <w:w w:val="100"/>
      <w:kern w:val="0"/>
      <w:lang w:eastAsia="en-AU"/>
    </w:rPr>
  </w:style>
  <w:style w:type="paragraph" w:customStyle="1" w:styleId="NumberLevel3">
    <w:name w:val="Number Level 3"/>
    <w:aliases w:val="N3"/>
    <w:basedOn w:val="Normal"/>
    <w:uiPriority w:val="1"/>
    <w:rsid w:val="00030303"/>
    <w:pPr>
      <w:numPr>
        <w:ilvl w:val="2"/>
        <w:numId w:val="14"/>
      </w:numPr>
      <w:spacing w:before="140" w:after="140" w:line="280" w:lineRule="atLeast"/>
    </w:pPr>
    <w:rPr>
      <w:rFonts w:ascii="Arial" w:eastAsia="Times New Roman" w:hAnsi="Arial" w:cs="Arial"/>
      <w:w w:val="100"/>
      <w:kern w:val="0"/>
      <w:lang w:eastAsia="en-AU"/>
    </w:rPr>
  </w:style>
  <w:style w:type="paragraph" w:customStyle="1" w:styleId="NumberLevel4">
    <w:name w:val="Number Level 4"/>
    <w:aliases w:val="N4,theNumber Level 4"/>
    <w:basedOn w:val="Normal"/>
    <w:uiPriority w:val="1"/>
    <w:rsid w:val="00030303"/>
    <w:pPr>
      <w:numPr>
        <w:ilvl w:val="3"/>
        <w:numId w:val="14"/>
      </w:numPr>
      <w:spacing w:after="140" w:line="280" w:lineRule="atLeast"/>
    </w:pPr>
    <w:rPr>
      <w:rFonts w:ascii="Arial" w:eastAsia="Times New Roman" w:hAnsi="Arial" w:cs="Arial"/>
      <w:w w:val="100"/>
      <w:kern w:val="0"/>
      <w:lang w:eastAsia="en-AU"/>
    </w:rPr>
  </w:style>
  <w:style w:type="paragraph" w:customStyle="1" w:styleId="NumberLevel5">
    <w:name w:val="Number Level 5"/>
    <w:aliases w:val="N5"/>
    <w:basedOn w:val="Normal"/>
    <w:uiPriority w:val="1"/>
    <w:rsid w:val="00030303"/>
    <w:pPr>
      <w:numPr>
        <w:ilvl w:val="4"/>
        <w:numId w:val="14"/>
      </w:numPr>
      <w:spacing w:after="140" w:line="280" w:lineRule="atLeast"/>
    </w:pPr>
    <w:rPr>
      <w:rFonts w:ascii="Arial" w:eastAsia="Times New Roman" w:hAnsi="Arial" w:cs="Arial"/>
      <w:w w:val="100"/>
      <w:kern w:val="0"/>
      <w:lang w:eastAsia="en-AU"/>
    </w:rPr>
  </w:style>
  <w:style w:type="paragraph" w:customStyle="1" w:styleId="NumberLevel6">
    <w:name w:val="Number Level 6"/>
    <w:aliases w:val="N6"/>
    <w:basedOn w:val="NumberLevel5"/>
    <w:uiPriority w:val="1"/>
    <w:rsid w:val="00030303"/>
    <w:pPr>
      <w:numPr>
        <w:ilvl w:val="5"/>
      </w:numPr>
      <w:spacing w:after="0" w:line="240" w:lineRule="auto"/>
    </w:pPr>
    <w:rPr>
      <w:rFonts w:ascii="Calibri" w:hAnsi="Calibri"/>
      <w:sz w:val="20"/>
    </w:rPr>
  </w:style>
  <w:style w:type="paragraph" w:customStyle="1" w:styleId="NumberLevel7">
    <w:name w:val="Number Level 7"/>
    <w:aliases w:val="N7"/>
    <w:basedOn w:val="NumberLevel6"/>
    <w:uiPriority w:val="1"/>
    <w:rsid w:val="00030303"/>
    <w:pPr>
      <w:numPr>
        <w:ilvl w:val="6"/>
      </w:numPr>
    </w:pPr>
  </w:style>
  <w:style w:type="paragraph" w:customStyle="1" w:styleId="NumberLevel8">
    <w:name w:val="Number Level 8"/>
    <w:aliases w:val="N8"/>
    <w:basedOn w:val="NumberLevel7"/>
    <w:uiPriority w:val="1"/>
    <w:rsid w:val="00030303"/>
    <w:pPr>
      <w:numPr>
        <w:ilvl w:val="7"/>
      </w:numPr>
    </w:pPr>
  </w:style>
  <w:style w:type="paragraph" w:customStyle="1" w:styleId="NumberLevel9">
    <w:name w:val="Number Level 9"/>
    <w:aliases w:val="N9"/>
    <w:basedOn w:val="NumberLevel8"/>
    <w:uiPriority w:val="1"/>
    <w:rsid w:val="00030303"/>
    <w:pPr>
      <w:numPr>
        <w:ilvl w:val="8"/>
      </w:numPr>
    </w:pPr>
  </w:style>
  <w:style w:type="paragraph" w:styleId="TOC4">
    <w:name w:val="toc 4"/>
    <w:basedOn w:val="Normal"/>
    <w:next w:val="Normal"/>
    <w:autoRedefine/>
    <w:uiPriority w:val="39"/>
    <w:unhideWhenUsed/>
    <w:rsid w:val="00030303"/>
    <w:pPr>
      <w:spacing w:after="100"/>
      <w:ind w:left="660"/>
    </w:pPr>
  </w:style>
  <w:style w:type="character" w:styleId="PageNumber">
    <w:name w:val="page number"/>
    <w:basedOn w:val="DefaultParagraphFont"/>
    <w:uiPriority w:val="99"/>
    <w:semiHidden/>
    <w:rsid w:val="00030303"/>
    <w:rPr>
      <w:rFonts w:ascii="Arial" w:hAnsi="Arial" w:cs="Arial"/>
      <w:b w:val="0"/>
      <w:i w:val="0"/>
      <w:sz w:val="16"/>
    </w:rPr>
  </w:style>
  <w:style w:type="paragraph" w:styleId="EndnoteText">
    <w:name w:val="endnote text"/>
    <w:basedOn w:val="Normal"/>
    <w:link w:val="EndnoteTextChar"/>
    <w:uiPriority w:val="31"/>
    <w:unhideWhenUsed/>
    <w:rsid w:val="00030303"/>
    <w:pPr>
      <w:spacing w:after="0" w:line="240" w:lineRule="auto"/>
    </w:pPr>
    <w:rPr>
      <w:sz w:val="20"/>
      <w:szCs w:val="20"/>
    </w:rPr>
  </w:style>
  <w:style w:type="character" w:customStyle="1" w:styleId="EndnoteTextChar">
    <w:name w:val="Endnote Text Char"/>
    <w:basedOn w:val="DefaultParagraphFont"/>
    <w:link w:val="EndnoteText"/>
    <w:uiPriority w:val="31"/>
    <w:rsid w:val="00030303"/>
    <w:rPr>
      <w:rFonts w:ascii="Calibri" w:eastAsia="Calibri" w:hAnsi="Calibri" w:cs="Calibri"/>
      <w:w w:val="105"/>
      <w:kern w:val="40"/>
      <w:sz w:val="20"/>
      <w:szCs w:val="20"/>
    </w:rPr>
  </w:style>
  <w:style w:type="table" w:customStyle="1" w:styleId="TableGrid1">
    <w:name w:val="Table Grid1"/>
    <w:basedOn w:val="TableNormal"/>
    <w:next w:val="TableGrid"/>
    <w:uiPriority w:val="39"/>
    <w:rsid w:val="000303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31"/>
    <w:rsid w:val="00030303"/>
    <w:rPr>
      <w:rFonts w:ascii="Arial" w:hAnsi="Arial" w:cs="Arial"/>
      <w:b w:val="0"/>
      <w:i w:val="0"/>
      <w:sz w:val="22"/>
      <w:vertAlign w:val="superscript"/>
    </w:rPr>
  </w:style>
  <w:style w:type="paragraph" w:styleId="ListBullet5">
    <w:name w:val="List Bullet 5"/>
    <w:basedOn w:val="Normal"/>
    <w:uiPriority w:val="99"/>
    <w:semiHidden/>
    <w:unhideWhenUsed/>
    <w:rsid w:val="00030303"/>
    <w:pPr>
      <w:numPr>
        <w:numId w:val="17"/>
      </w:numPr>
      <w:spacing w:after="0" w:line="240" w:lineRule="auto"/>
      <w:contextualSpacing/>
    </w:pPr>
    <w:rPr>
      <w:rFonts w:ascii="Arial" w:eastAsia="Times New Roman" w:hAnsi="Arial" w:cs="Arial"/>
      <w:w w:val="100"/>
      <w:kern w:val="0"/>
      <w:lang w:eastAsia="en-AU"/>
    </w:rPr>
  </w:style>
  <w:style w:type="paragraph" w:customStyle="1" w:styleId="Leg2Sec1">
    <w:name w:val="Leg2 Sec: 1."/>
    <w:aliases w:val="L2"/>
    <w:basedOn w:val="Normal"/>
    <w:uiPriority w:val="5"/>
    <w:rsid w:val="00030303"/>
    <w:pPr>
      <w:tabs>
        <w:tab w:val="left" w:pos="1276"/>
      </w:tabs>
      <w:spacing w:before="60" w:after="60" w:line="260" w:lineRule="atLeast"/>
      <w:ind w:left="1276" w:right="567" w:hanging="850"/>
    </w:pPr>
    <w:rPr>
      <w:rFonts w:ascii="Arial" w:eastAsia="Times New Roman" w:hAnsi="Arial" w:cs="Arial"/>
      <w:w w:val="100"/>
      <w:kern w:val="0"/>
      <w:sz w:val="20"/>
      <w:lang w:eastAsia="en-AU"/>
    </w:rPr>
  </w:style>
  <w:style w:type="character" w:customStyle="1" w:styleId="ng-scope">
    <w:name w:val="ng-scope"/>
    <w:basedOn w:val="DefaultParagraphFont"/>
    <w:rsid w:val="00030303"/>
  </w:style>
  <w:style w:type="table" w:customStyle="1" w:styleId="TableGrid21">
    <w:name w:val="Table Grid21"/>
    <w:basedOn w:val="TableNormal"/>
    <w:next w:val="TableGrid"/>
    <w:rsid w:val="00030303"/>
    <w:pPr>
      <w:spacing w:after="0" w:line="240" w:lineRule="auto"/>
    </w:pPr>
    <w:rPr>
      <w:rFonts w:ascii="Arial" w:eastAsia="Times New Roman" w:hAnsi="Arial" w:cs="Times New Roman"/>
      <w:sz w:val="20"/>
      <w:szCs w:val="20"/>
      <w:lang w:eastAsia="en-AU"/>
    </w:rPr>
    <w:tblPr/>
    <w:tcPr>
      <w:vAlign w:val="center"/>
    </w:tcPr>
  </w:style>
  <w:style w:type="paragraph" w:customStyle="1" w:styleId="TableIndentFull">
    <w:name w:val="Table: Indent: Full"/>
    <w:basedOn w:val="Normal"/>
    <w:uiPriority w:val="12"/>
    <w:semiHidden/>
    <w:rsid w:val="00030303"/>
    <w:pPr>
      <w:numPr>
        <w:numId w:val="27"/>
      </w:numPr>
      <w:spacing w:after="60" w:line="240" w:lineRule="atLeast"/>
    </w:pPr>
    <w:rPr>
      <w:rFonts w:ascii="Arial" w:eastAsia="Times New Roman" w:hAnsi="Arial" w:cs="Arial"/>
      <w:w w:val="100"/>
      <w:kern w:val="0"/>
      <w:sz w:val="20"/>
      <w:lang w:eastAsia="en-AU"/>
    </w:rPr>
  </w:style>
  <w:style w:type="paragraph" w:customStyle="1" w:styleId="TableIndentFull1">
    <w:name w:val="Table: Indent: Full 1"/>
    <w:basedOn w:val="Normal"/>
    <w:uiPriority w:val="12"/>
    <w:rsid w:val="00030303"/>
    <w:pPr>
      <w:numPr>
        <w:ilvl w:val="1"/>
        <w:numId w:val="27"/>
      </w:numPr>
      <w:spacing w:after="60" w:line="240" w:lineRule="atLeast"/>
    </w:pPr>
    <w:rPr>
      <w:rFonts w:ascii="Arial" w:eastAsia="Times New Roman" w:hAnsi="Arial" w:cs="Arial"/>
      <w:w w:val="100"/>
      <w:kern w:val="0"/>
      <w:sz w:val="20"/>
      <w:lang w:eastAsia="en-AU"/>
    </w:rPr>
  </w:style>
  <w:style w:type="paragraph" w:customStyle="1" w:styleId="TableIndentFull2">
    <w:name w:val="Table: Indent: Full 2"/>
    <w:basedOn w:val="Normal"/>
    <w:uiPriority w:val="12"/>
    <w:semiHidden/>
    <w:rsid w:val="00030303"/>
    <w:pPr>
      <w:numPr>
        <w:ilvl w:val="2"/>
        <w:numId w:val="27"/>
      </w:numPr>
      <w:spacing w:after="60" w:line="240" w:lineRule="atLeast"/>
    </w:pPr>
    <w:rPr>
      <w:rFonts w:ascii="Arial" w:eastAsia="Times New Roman" w:hAnsi="Arial" w:cs="Arial"/>
      <w:w w:val="100"/>
      <w:kern w:val="0"/>
      <w:sz w:val="20"/>
      <w:lang w:eastAsia="en-AU"/>
    </w:rPr>
  </w:style>
  <w:style w:type="paragraph" w:customStyle="1" w:styleId="TableIndentFull3">
    <w:name w:val="Table: Indent: Full 3"/>
    <w:basedOn w:val="Normal"/>
    <w:uiPriority w:val="12"/>
    <w:semiHidden/>
    <w:rsid w:val="00030303"/>
    <w:pPr>
      <w:numPr>
        <w:ilvl w:val="3"/>
        <w:numId w:val="27"/>
      </w:numPr>
      <w:spacing w:after="60" w:line="240" w:lineRule="atLeast"/>
    </w:pPr>
    <w:rPr>
      <w:rFonts w:ascii="Arial" w:eastAsia="Times New Roman" w:hAnsi="Arial" w:cs="Arial"/>
      <w:w w:val="100"/>
      <w:kern w:val="0"/>
      <w:sz w:val="20"/>
      <w:lang w:eastAsia="en-AU"/>
    </w:rPr>
  </w:style>
  <w:style w:type="paragraph" w:customStyle="1" w:styleId="TableIndentFull4">
    <w:name w:val="Table: Indent: Full 4"/>
    <w:basedOn w:val="Normal"/>
    <w:uiPriority w:val="12"/>
    <w:semiHidden/>
    <w:rsid w:val="00030303"/>
    <w:pPr>
      <w:numPr>
        <w:ilvl w:val="4"/>
        <w:numId w:val="27"/>
      </w:numPr>
      <w:spacing w:after="60" w:line="240" w:lineRule="atLeast"/>
    </w:pPr>
    <w:rPr>
      <w:rFonts w:ascii="Arial" w:eastAsia="Times New Roman" w:hAnsi="Arial" w:cs="Arial"/>
      <w:w w:val="100"/>
      <w:kern w:val="0"/>
      <w:sz w:val="20"/>
      <w:lang w:eastAsia="en-AU"/>
    </w:rPr>
  </w:style>
  <w:style w:type="paragraph" w:customStyle="1" w:styleId="TableIndentFull5">
    <w:name w:val="Table: Indent: Full 5"/>
    <w:basedOn w:val="Normal"/>
    <w:uiPriority w:val="12"/>
    <w:semiHidden/>
    <w:rsid w:val="00030303"/>
    <w:pPr>
      <w:numPr>
        <w:ilvl w:val="5"/>
        <w:numId w:val="27"/>
      </w:numPr>
      <w:spacing w:after="60" w:line="240" w:lineRule="atLeast"/>
    </w:pPr>
    <w:rPr>
      <w:rFonts w:ascii="Arial" w:eastAsia="Times New Roman" w:hAnsi="Arial" w:cs="Arial"/>
      <w:w w:val="100"/>
      <w:kern w:val="0"/>
      <w:sz w:val="20"/>
      <w:lang w:eastAsia="en-AU"/>
    </w:rPr>
  </w:style>
  <w:style w:type="paragraph" w:customStyle="1" w:styleId="TableIndentFull6">
    <w:name w:val="Table: Indent: Full 6"/>
    <w:basedOn w:val="Normal"/>
    <w:uiPriority w:val="12"/>
    <w:semiHidden/>
    <w:rsid w:val="00030303"/>
    <w:pPr>
      <w:numPr>
        <w:ilvl w:val="6"/>
        <w:numId w:val="27"/>
      </w:numPr>
      <w:spacing w:after="60" w:line="240" w:lineRule="atLeast"/>
    </w:pPr>
    <w:rPr>
      <w:rFonts w:ascii="Arial" w:eastAsia="Times New Roman" w:hAnsi="Arial" w:cs="Arial"/>
      <w:w w:val="100"/>
      <w:kern w:val="0"/>
      <w:sz w:val="20"/>
      <w:lang w:eastAsia="en-AU"/>
    </w:rPr>
  </w:style>
  <w:style w:type="paragraph" w:customStyle="1" w:styleId="TableIndentFull7">
    <w:name w:val="Table: Indent: Full 7"/>
    <w:basedOn w:val="Normal"/>
    <w:uiPriority w:val="12"/>
    <w:semiHidden/>
    <w:rsid w:val="00030303"/>
    <w:pPr>
      <w:numPr>
        <w:ilvl w:val="7"/>
        <w:numId w:val="27"/>
      </w:numPr>
      <w:spacing w:after="60" w:line="240" w:lineRule="atLeast"/>
    </w:pPr>
    <w:rPr>
      <w:rFonts w:ascii="Arial" w:eastAsia="Times New Roman" w:hAnsi="Arial" w:cs="Arial"/>
      <w:w w:val="100"/>
      <w:kern w:val="0"/>
      <w:sz w:val="20"/>
      <w:lang w:eastAsia="en-AU"/>
    </w:rPr>
  </w:style>
  <w:style w:type="paragraph" w:customStyle="1" w:styleId="TableIndentFull8">
    <w:name w:val="Table: Indent: Full 8"/>
    <w:basedOn w:val="Normal"/>
    <w:uiPriority w:val="12"/>
    <w:semiHidden/>
    <w:rsid w:val="00030303"/>
    <w:pPr>
      <w:numPr>
        <w:ilvl w:val="8"/>
        <w:numId w:val="27"/>
      </w:numPr>
      <w:spacing w:after="60" w:line="240" w:lineRule="atLeast"/>
    </w:pPr>
    <w:rPr>
      <w:rFonts w:ascii="Arial" w:eastAsia="Times New Roman" w:hAnsi="Arial" w:cs="Arial"/>
      <w:w w:val="100"/>
      <w:kern w:val="0"/>
      <w:sz w:val="20"/>
      <w:lang w:eastAsia="en-AU"/>
    </w:rPr>
  </w:style>
  <w:style w:type="numbering" w:customStyle="1" w:styleId="NoList11">
    <w:name w:val="No List11"/>
    <w:next w:val="NoList"/>
    <w:uiPriority w:val="99"/>
    <w:semiHidden/>
    <w:unhideWhenUsed/>
    <w:rsid w:val="00030303"/>
  </w:style>
  <w:style w:type="paragraph" w:customStyle="1" w:styleId="NormalBase">
    <w:name w:val="Normal Base"/>
    <w:uiPriority w:val="99"/>
    <w:semiHidden/>
    <w:rsid w:val="00030303"/>
    <w:pPr>
      <w:spacing w:before="140" w:after="140" w:line="280" w:lineRule="atLeast"/>
    </w:pPr>
    <w:rPr>
      <w:rFonts w:ascii="Arial" w:eastAsia="Times New Roman" w:hAnsi="Arial" w:cs="Arial"/>
      <w:lang w:eastAsia="en-AU"/>
    </w:rPr>
  </w:style>
  <w:style w:type="paragraph" w:customStyle="1" w:styleId="HeadingBase">
    <w:name w:val="Heading Base"/>
    <w:uiPriority w:val="98"/>
    <w:semiHidden/>
    <w:rsid w:val="00030303"/>
    <w:pPr>
      <w:spacing w:before="200" w:after="0" w:line="280" w:lineRule="atLeast"/>
    </w:pPr>
    <w:rPr>
      <w:rFonts w:ascii="Arial" w:eastAsia="Times New Roman" w:hAnsi="Arial" w:cs="Arial"/>
      <w:sz w:val="20"/>
      <w:lang w:eastAsia="en-AU"/>
    </w:rPr>
  </w:style>
  <w:style w:type="paragraph" w:customStyle="1" w:styleId="PlainParagraph">
    <w:name w:val="Plain Paragraph"/>
    <w:aliases w:val="PP"/>
    <w:basedOn w:val="NormalBase"/>
    <w:link w:val="PlainParagraphChar"/>
    <w:rsid w:val="00030303"/>
  </w:style>
  <w:style w:type="paragraph" w:customStyle="1" w:styleId="HeaderBase">
    <w:name w:val="Header Base"/>
    <w:next w:val="Header"/>
    <w:uiPriority w:val="37"/>
    <w:semiHidden/>
    <w:rsid w:val="00030303"/>
    <w:pPr>
      <w:spacing w:after="0" w:line="200" w:lineRule="atLeast"/>
    </w:pPr>
    <w:rPr>
      <w:rFonts w:ascii="Arial" w:eastAsia="Times New Roman" w:hAnsi="Arial" w:cs="Arial"/>
      <w:sz w:val="20"/>
      <w:lang w:eastAsia="en-AU"/>
    </w:rPr>
  </w:style>
  <w:style w:type="paragraph" w:customStyle="1" w:styleId="FooterBase">
    <w:name w:val="Footer Base"/>
    <w:next w:val="Footer"/>
    <w:uiPriority w:val="37"/>
    <w:semiHidden/>
    <w:rsid w:val="00030303"/>
    <w:pPr>
      <w:spacing w:after="0" w:line="200" w:lineRule="atLeast"/>
    </w:pPr>
    <w:rPr>
      <w:rFonts w:ascii="Arial" w:eastAsia="Times New Roman" w:hAnsi="Arial" w:cs="Arial"/>
      <w:sz w:val="16"/>
      <w:lang w:eastAsia="en-AU"/>
    </w:rPr>
  </w:style>
  <w:style w:type="paragraph" w:customStyle="1" w:styleId="1Reference">
    <w:name w:val="1. Reference"/>
    <w:basedOn w:val="PlainParagraph"/>
    <w:uiPriority w:val="19"/>
    <w:rsid w:val="00030303"/>
    <w:pPr>
      <w:spacing w:before="0" w:after="0" w:line="200" w:lineRule="atLeast"/>
    </w:pPr>
    <w:rPr>
      <w:sz w:val="20"/>
    </w:rPr>
  </w:style>
  <w:style w:type="paragraph" w:customStyle="1" w:styleId="2Date">
    <w:name w:val="2. Date"/>
    <w:basedOn w:val="PlainParagraph"/>
    <w:next w:val="3Address"/>
    <w:uiPriority w:val="19"/>
    <w:rsid w:val="00030303"/>
    <w:pPr>
      <w:spacing w:before="280" w:after="420"/>
    </w:pPr>
  </w:style>
  <w:style w:type="paragraph" w:customStyle="1" w:styleId="3Address">
    <w:name w:val="3. Address"/>
    <w:basedOn w:val="PlainParagraph"/>
    <w:uiPriority w:val="19"/>
    <w:rsid w:val="00030303"/>
    <w:pPr>
      <w:keepLines/>
      <w:widowControl w:val="0"/>
      <w:spacing w:before="0" w:after="0"/>
    </w:pPr>
  </w:style>
  <w:style w:type="paragraph" w:customStyle="1" w:styleId="4Addressee">
    <w:name w:val="4. Addressee"/>
    <w:basedOn w:val="PlainParagraph"/>
    <w:next w:val="SubjectTitle"/>
    <w:uiPriority w:val="19"/>
    <w:rsid w:val="00030303"/>
    <w:pPr>
      <w:keepLines/>
      <w:widowControl w:val="0"/>
      <w:spacing w:before="700" w:after="280"/>
    </w:pPr>
  </w:style>
  <w:style w:type="paragraph" w:customStyle="1" w:styleId="SubjectTitle">
    <w:name w:val="Subject/Title"/>
    <w:aliases w:val="S/T"/>
    <w:basedOn w:val="PlainParagraph"/>
    <w:next w:val="PlainParagraph"/>
    <w:uiPriority w:val="10"/>
    <w:qFormat/>
    <w:rsid w:val="00030303"/>
    <w:pPr>
      <w:pBdr>
        <w:bottom w:val="single" w:sz="2" w:space="0" w:color="auto"/>
      </w:pBdr>
      <w:spacing w:before="0"/>
    </w:pPr>
    <w:rPr>
      <w:b/>
    </w:rPr>
  </w:style>
  <w:style w:type="paragraph" w:customStyle="1" w:styleId="Classificationlegalbody">
    <w:name w:val="Classification legal: body"/>
    <w:basedOn w:val="PlainParagraph"/>
    <w:next w:val="4Addressee"/>
    <w:uiPriority w:val="20"/>
    <w:semiHidden/>
    <w:rsid w:val="00030303"/>
    <w:pPr>
      <w:spacing w:before="420" w:after="0"/>
      <w:jc w:val="center"/>
    </w:pPr>
    <w:rPr>
      <w:caps/>
      <w:sz w:val="20"/>
    </w:rPr>
  </w:style>
  <w:style w:type="paragraph" w:customStyle="1" w:styleId="Classificationlegalheader">
    <w:name w:val="Classification legal: header"/>
    <w:basedOn w:val="PlainParagraph"/>
    <w:uiPriority w:val="20"/>
    <w:semiHidden/>
    <w:rsid w:val="00030303"/>
    <w:pPr>
      <w:spacing w:before="0" w:after="0" w:line="200" w:lineRule="atLeast"/>
      <w:jc w:val="center"/>
    </w:pPr>
    <w:rPr>
      <w:caps/>
      <w:sz w:val="20"/>
    </w:rPr>
  </w:style>
  <w:style w:type="paragraph" w:customStyle="1" w:styleId="Classificationsecurityheader">
    <w:name w:val="Classification security: header"/>
    <w:basedOn w:val="PlainParagraph"/>
    <w:uiPriority w:val="20"/>
    <w:semiHidden/>
    <w:rsid w:val="00030303"/>
    <w:pPr>
      <w:spacing w:before="0" w:after="0"/>
      <w:jc w:val="center"/>
    </w:pPr>
    <w:rPr>
      <w:b/>
      <w:caps/>
      <w:color w:val="FF0000"/>
    </w:rPr>
  </w:style>
  <w:style w:type="paragraph" w:customStyle="1" w:styleId="Classificationsecurityfooter">
    <w:name w:val="Classification security: footer"/>
    <w:basedOn w:val="Classificationsecurityheader"/>
    <w:uiPriority w:val="20"/>
    <w:semiHidden/>
    <w:rsid w:val="00030303"/>
  </w:style>
  <w:style w:type="paragraph" w:customStyle="1" w:styleId="FooterSubject">
    <w:name w:val="Footer Subject"/>
    <w:basedOn w:val="FooterBase"/>
    <w:uiPriority w:val="37"/>
    <w:semiHidden/>
    <w:rsid w:val="00030303"/>
    <w:pPr>
      <w:ind w:right="1417"/>
    </w:pPr>
  </w:style>
  <w:style w:type="paragraph" w:customStyle="1" w:styleId="FooterLandscape">
    <w:name w:val="Footer Landscape"/>
    <w:basedOn w:val="FooterBase"/>
    <w:uiPriority w:val="27"/>
    <w:semiHidden/>
    <w:rsid w:val="00030303"/>
    <w:pPr>
      <w:tabs>
        <w:tab w:val="right" w:pos="13175"/>
      </w:tabs>
    </w:pPr>
  </w:style>
  <w:style w:type="paragraph" w:customStyle="1" w:styleId="HeaderLandscape">
    <w:name w:val="Header Landscape"/>
    <w:basedOn w:val="HeaderBase"/>
    <w:uiPriority w:val="27"/>
    <w:semiHidden/>
    <w:rsid w:val="00030303"/>
    <w:pPr>
      <w:tabs>
        <w:tab w:val="right" w:pos="13175"/>
      </w:tabs>
    </w:pPr>
  </w:style>
  <w:style w:type="paragraph" w:customStyle="1" w:styleId="DraftinHeader">
    <w:name w:val="Draft in Header"/>
    <w:basedOn w:val="HeaderBase"/>
    <w:uiPriority w:val="37"/>
    <w:semiHidden/>
    <w:rsid w:val="00030303"/>
    <w:pPr>
      <w:tabs>
        <w:tab w:val="right" w:pos="8220"/>
      </w:tabs>
    </w:pPr>
  </w:style>
  <w:style w:type="paragraph" w:customStyle="1" w:styleId="Sig1Salutation">
    <w:name w:val="Sig. 1 Salutation"/>
    <w:basedOn w:val="PlainParagraph"/>
    <w:uiPriority w:val="19"/>
    <w:rsid w:val="00030303"/>
    <w:pPr>
      <w:keepNext/>
      <w:widowControl w:val="0"/>
    </w:pPr>
  </w:style>
  <w:style w:type="paragraph" w:customStyle="1" w:styleId="Sig2Officer">
    <w:name w:val="Sig. 2 Officer"/>
    <w:basedOn w:val="PlainParagraph"/>
    <w:uiPriority w:val="19"/>
    <w:rsid w:val="00030303"/>
    <w:pPr>
      <w:keepNext/>
      <w:widowControl w:val="0"/>
      <w:tabs>
        <w:tab w:val="left" w:pos="4535"/>
      </w:tabs>
      <w:spacing w:before="0" w:after="0"/>
    </w:pPr>
    <w:rPr>
      <w:b/>
    </w:rPr>
  </w:style>
  <w:style w:type="paragraph" w:customStyle="1" w:styleId="Sig3Title">
    <w:name w:val="Sig. 3 Title"/>
    <w:basedOn w:val="PlainParagraph"/>
    <w:uiPriority w:val="19"/>
    <w:rsid w:val="00030303"/>
    <w:pPr>
      <w:keepNext/>
      <w:widowControl w:val="0"/>
      <w:tabs>
        <w:tab w:val="left" w:pos="4535"/>
      </w:tabs>
      <w:spacing w:before="0" w:after="0" w:line="240" w:lineRule="atLeast"/>
    </w:pPr>
    <w:rPr>
      <w:sz w:val="20"/>
    </w:rPr>
  </w:style>
  <w:style w:type="paragraph" w:customStyle="1" w:styleId="Sig4Contactdet">
    <w:name w:val="Sig. 4 Contact det"/>
    <w:basedOn w:val="PlainParagraph"/>
    <w:uiPriority w:val="19"/>
    <w:rsid w:val="00030303"/>
    <w:pPr>
      <w:keepNext/>
      <w:widowControl w:val="0"/>
      <w:tabs>
        <w:tab w:val="left" w:pos="4535"/>
      </w:tabs>
      <w:spacing w:before="20" w:after="0" w:line="240" w:lineRule="atLeast"/>
    </w:pPr>
    <w:rPr>
      <w:sz w:val="20"/>
    </w:rPr>
  </w:style>
  <w:style w:type="paragraph" w:customStyle="1" w:styleId="Sig5Email">
    <w:name w:val="Sig. 5 Email"/>
    <w:basedOn w:val="PlainParagraph"/>
    <w:uiPriority w:val="19"/>
    <w:rsid w:val="00030303"/>
    <w:pPr>
      <w:keepNext/>
      <w:widowControl w:val="0"/>
      <w:tabs>
        <w:tab w:val="left" w:pos="4535"/>
      </w:tabs>
      <w:spacing w:before="0" w:after="0" w:line="240" w:lineRule="atLeast"/>
    </w:pPr>
    <w:rPr>
      <w:sz w:val="20"/>
    </w:rPr>
  </w:style>
  <w:style w:type="paragraph" w:customStyle="1" w:styleId="PartHeading">
    <w:name w:val="Part Heading"/>
    <w:aliases w:val="PH"/>
    <w:basedOn w:val="HeadingBase"/>
    <w:next w:val="PartSubHeading"/>
    <w:uiPriority w:val="10"/>
    <w:qFormat/>
    <w:rsid w:val="00030303"/>
    <w:pPr>
      <w:keepNext/>
      <w:keepLines/>
      <w:shd w:val="solid" w:color="000000" w:fill="000000"/>
      <w:spacing w:before="0" w:line="240" w:lineRule="atLeast"/>
      <w:ind w:left="-850" w:firstLine="850"/>
    </w:pPr>
    <w:rPr>
      <w:b/>
      <w:caps/>
      <w:color w:val="FFFFFF"/>
    </w:rPr>
  </w:style>
  <w:style w:type="paragraph" w:customStyle="1" w:styleId="PartSubHeading">
    <w:name w:val="Part SubHeading"/>
    <w:basedOn w:val="HeadingBase"/>
    <w:next w:val="PlainParagraph"/>
    <w:uiPriority w:val="10"/>
    <w:rsid w:val="00030303"/>
    <w:pPr>
      <w:keepNext/>
      <w:keepLines/>
      <w:spacing w:before="0" w:after="420"/>
    </w:pPr>
    <w:rPr>
      <w:caps/>
    </w:rPr>
  </w:style>
  <w:style w:type="paragraph" w:customStyle="1" w:styleId="ContentsHeading">
    <w:name w:val="Contents Heading"/>
    <w:basedOn w:val="HeadingBase"/>
    <w:next w:val="PlainParagraph"/>
    <w:uiPriority w:val="98"/>
    <w:semiHidden/>
    <w:rsid w:val="00030303"/>
    <w:pPr>
      <w:keepNext/>
      <w:keepLines/>
      <w:spacing w:before="0" w:after="280"/>
    </w:pPr>
    <w:rPr>
      <w:b/>
      <w:caps/>
    </w:rPr>
  </w:style>
  <w:style w:type="paragraph" w:customStyle="1" w:styleId="Leg1SecHead1">
    <w:name w:val="Leg1 Sec Head: 1."/>
    <w:aliases w:val="L1"/>
    <w:basedOn w:val="PlainParagraph"/>
    <w:uiPriority w:val="5"/>
    <w:rsid w:val="00030303"/>
    <w:pPr>
      <w:tabs>
        <w:tab w:val="left" w:pos="425"/>
        <w:tab w:val="left" w:pos="850"/>
        <w:tab w:val="left" w:pos="1276"/>
      </w:tabs>
      <w:spacing w:before="60" w:after="60" w:line="260" w:lineRule="atLeast"/>
      <w:ind w:left="1276" w:right="567" w:hanging="850"/>
    </w:pPr>
    <w:rPr>
      <w:b/>
      <w:sz w:val="20"/>
    </w:rPr>
  </w:style>
  <w:style w:type="paragraph" w:customStyle="1" w:styleId="Leg3SecSubsec11">
    <w:name w:val="Leg3 Sec(Subsec): 1.(1)"/>
    <w:aliases w:val="L3"/>
    <w:basedOn w:val="PlainParagraph"/>
    <w:uiPriority w:val="5"/>
    <w:rsid w:val="00030303"/>
    <w:pPr>
      <w:tabs>
        <w:tab w:val="left" w:pos="425"/>
        <w:tab w:val="left" w:pos="850"/>
        <w:tab w:val="left" w:pos="1276"/>
      </w:tabs>
      <w:spacing w:before="60" w:after="60" w:line="260" w:lineRule="atLeast"/>
      <w:ind w:left="1276" w:right="567" w:hanging="850"/>
    </w:pPr>
    <w:rPr>
      <w:sz w:val="20"/>
    </w:rPr>
  </w:style>
  <w:style w:type="paragraph" w:customStyle="1" w:styleId="Leg4Subsec1">
    <w:name w:val="Leg4 Subsec: (1)"/>
    <w:aliases w:val="L4"/>
    <w:basedOn w:val="PlainParagraph"/>
    <w:uiPriority w:val="5"/>
    <w:rsid w:val="00030303"/>
    <w:pPr>
      <w:spacing w:before="60" w:after="60" w:line="260" w:lineRule="atLeast"/>
      <w:ind w:left="1276" w:right="567" w:hanging="425"/>
    </w:pPr>
    <w:rPr>
      <w:sz w:val="20"/>
    </w:rPr>
  </w:style>
  <w:style w:type="paragraph" w:customStyle="1" w:styleId="Leg5Paraa">
    <w:name w:val="Leg5 Para: (a)"/>
    <w:aliases w:val="L5"/>
    <w:basedOn w:val="PlainParagraph"/>
    <w:uiPriority w:val="5"/>
    <w:rsid w:val="00030303"/>
    <w:pPr>
      <w:spacing w:before="60" w:after="60" w:line="260" w:lineRule="atLeast"/>
      <w:ind w:left="1843" w:right="567" w:hanging="567"/>
    </w:pPr>
    <w:rPr>
      <w:sz w:val="20"/>
    </w:rPr>
  </w:style>
  <w:style w:type="paragraph" w:customStyle="1" w:styleId="Leg6SubParai">
    <w:name w:val="Leg6 SubPara: (i)"/>
    <w:aliases w:val="L6"/>
    <w:basedOn w:val="PlainParagraph"/>
    <w:uiPriority w:val="5"/>
    <w:rsid w:val="00030303"/>
    <w:pPr>
      <w:spacing w:before="60" w:after="60" w:line="260" w:lineRule="atLeast"/>
      <w:ind w:left="2409" w:right="567" w:hanging="567"/>
    </w:pPr>
    <w:rPr>
      <w:sz w:val="20"/>
    </w:rPr>
  </w:style>
  <w:style w:type="paragraph" w:customStyle="1" w:styleId="QAQuestion">
    <w:name w:val="Q&amp;A: Question"/>
    <w:basedOn w:val="PlainParagraph"/>
    <w:next w:val="QAAnswer"/>
    <w:uiPriority w:val="7"/>
    <w:semiHidden/>
    <w:rsid w:val="00030303"/>
    <w:pPr>
      <w:keepNext/>
      <w:widowControl w:val="0"/>
      <w:tabs>
        <w:tab w:val="left" w:pos="425"/>
        <w:tab w:val="left" w:pos="850"/>
      </w:tabs>
      <w:ind w:left="850" w:hanging="850"/>
    </w:pPr>
    <w:rPr>
      <w:i/>
    </w:rPr>
  </w:style>
  <w:style w:type="paragraph" w:customStyle="1" w:styleId="QAAnswer">
    <w:name w:val="Q&amp;A: Answer"/>
    <w:basedOn w:val="PlainParagraph"/>
    <w:next w:val="Normal"/>
    <w:uiPriority w:val="7"/>
    <w:semiHidden/>
    <w:rsid w:val="00030303"/>
    <w:pPr>
      <w:tabs>
        <w:tab w:val="left" w:pos="425"/>
        <w:tab w:val="left" w:pos="850"/>
      </w:tabs>
      <w:spacing w:before="0"/>
      <w:ind w:left="850" w:hanging="850"/>
    </w:pPr>
  </w:style>
  <w:style w:type="paragraph" w:customStyle="1" w:styleId="QAText">
    <w:name w:val="Q&amp;A: Text"/>
    <w:basedOn w:val="PlainParagraph"/>
    <w:uiPriority w:val="7"/>
    <w:semiHidden/>
    <w:rsid w:val="00030303"/>
    <w:pPr>
      <w:keepNext/>
      <w:widowControl w:val="0"/>
      <w:ind w:left="425"/>
    </w:pPr>
    <w:rPr>
      <w:i/>
    </w:rPr>
  </w:style>
  <w:style w:type="paragraph" w:customStyle="1" w:styleId="Quotation">
    <w:name w:val="Quotation"/>
    <w:basedOn w:val="PlainParagraph"/>
    <w:uiPriority w:val="9"/>
    <w:semiHidden/>
    <w:rsid w:val="00030303"/>
    <w:pPr>
      <w:numPr>
        <w:numId w:val="28"/>
      </w:numPr>
      <w:tabs>
        <w:tab w:val="clear" w:pos="425"/>
        <w:tab w:val="num" w:pos="360"/>
      </w:tabs>
      <w:spacing w:before="0" w:line="260" w:lineRule="atLeast"/>
      <w:ind w:left="720" w:hanging="360"/>
    </w:pPr>
    <w:rPr>
      <w:sz w:val="20"/>
    </w:rPr>
  </w:style>
  <w:style w:type="paragraph" w:customStyle="1" w:styleId="Quotation1">
    <w:name w:val="Quotation 1"/>
    <w:aliases w:val="&quot;Q&quot;"/>
    <w:basedOn w:val="PlainParagraph"/>
    <w:uiPriority w:val="9"/>
    <w:qFormat/>
    <w:rsid w:val="00030303"/>
    <w:pPr>
      <w:numPr>
        <w:ilvl w:val="1"/>
        <w:numId w:val="28"/>
      </w:numPr>
      <w:tabs>
        <w:tab w:val="clear" w:pos="425"/>
        <w:tab w:val="num" w:pos="360"/>
      </w:tabs>
      <w:spacing w:before="0" w:line="260" w:lineRule="atLeast"/>
      <w:ind w:left="1440" w:hanging="360"/>
    </w:pPr>
    <w:rPr>
      <w:sz w:val="20"/>
    </w:rPr>
  </w:style>
  <w:style w:type="paragraph" w:customStyle="1" w:styleId="Quotation2">
    <w:name w:val="Quotation 2"/>
    <w:basedOn w:val="PlainParagraph"/>
    <w:uiPriority w:val="9"/>
    <w:semiHidden/>
    <w:rsid w:val="00030303"/>
    <w:pPr>
      <w:numPr>
        <w:ilvl w:val="2"/>
        <w:numId w:val="28"/>
      </w:numPr>
      <w:tabs>
        <w:tab w:val="clear" w:pos="850"/>
        <w:tab w:val="num" w:pos="360"/>
      </w:tabs>
      <w:spacing w:before="0" w:line="260" w:lineRule="atLeast"/>
      <w:ind w:left="2160" w:hanging="360"/>
    </w:pPr>
    <w:rPr>
      <w:sz w:val="20"/>
    </w:rPr>
  </w:style>
  <w:style w:type="paragraph" w:customStyle="1" w:styleId="Quotation3">
    <w:name w:val="Quotation 3"/>
    <w:basedOn w:val="PlainParagraph"/>
    <w:uiPriority w:val="9"/>
    <w:semiHidden/>
    <w:rsid w:val="00030303"/>
    <w:pPr>
      <w:numPr>
        <w:ilvl w:val="3"/>
        <w:numId w:val="28"/>
      </w:numPr>
      <w:tabs>
        <w:tab w:val="clear" w:pos="1276"/>
        <w:tab w:val="num" w:pos="360"/>
      </w:tabs>
      <w:spacing w:before="0" w:line="260" w:lineRule="atLeast"/>
      <w:ind w:left="2880" w:hanging="360"/>
    </w:pPr>
    <w:rPr>
      <w:sz w:val="20"/>
    </w:rPr>
  </w:style>
  <w:style w:type="paragraph" w:customStyle="1" w:styleId="Quotation4">
    <w:name w:val="Quotation 4"/>
    <w:basedOn w:val="PlainParagraph"/>
    <w:uiPriority w:val="9"/>
    <w:semiHidden/>
    <w:rsid w:val="00030303"/>
    <w:pPr>
      <w:numPr>
        <w:ilvl w:val="4"/>
        <w:numId w:val="28"/>
      </w:numPr>
      <w:tabs>
        <w:tab w:val="clear" w:pos="1701"/>
        <w:tab w:val="num" w:pos="360"/>
      </w:tabs>
      <w:spacing w:before="0" w:line="260" w:lineRule="atLeast"/>
      <w:ind w:left="3600" w:hanging="360"/>
    </w:pPr>
    <w:rPr>
      <w:sz w:val="20"/>
    </w:rPr>
  </w:style>
  <w:style w:type="paragraph" w:customStyle="1" w:styleId="Quotation5">
    <w:name w:val="Quotation 5"/>
    <w:basedOn w:val="PlainParagraph"/>
    <w:uiPriority w:val="9"/>
    <w:semiHidden/>
    <w:rsid w:val="00030303"/>
    <w:pPr>
      <w:numPr>
        <w:ilvl w:val="5"/>
        <w:numId w:val="28"/>
      </w:numPr>
      <w:tabs>
        <w:tab w:val="clear" w:pos="2126"/>
        <w:tab w:val="num" w:pos="360"/>
      </w:tabs>
      <w:spacing w:before="0" w:line="260" w:lineRule="atLeast"/>
      <w:ind w:left="4320" w:hanging="360"/>
    </w:pPr>
    <w:rPr>
      <w:sz w:val="20"/>
    </w:rPr>
  </w:style>
  <w:style w:type="paragraph" w:customStyle="1" w:styleId="Quotation6">
    <w:name w:val="Quotation 6"/>
    <w:basedOn w:val="PlainParagraph"/>
    <w:uiPriority w:val="9"/>
    <w:semiHidden/>
    <w:rsid w:val="00030303"/>
    <w:pPr>
      <w:numPr>
        <w:ilvl w:val="6"/>
        <w:numId w:val="28"/>
      </w:numPr>
      <w:tabs>
        <w:tab w:val="clear" w:pos="2551"/>
        <w:tab w:val="num" w:pos="360"/>
      </w:tabs>
      <w:spacing w:before="0" w:line="260" w:lineRule="atLeast"/>
      <w:ind w:left="5040" w:hanging="360"/>
    </w:pPr>
    <w:rPr>
      <w:sz w:val="20"/>
    </w:rPr>
  </w:style>
  <w:style w:type="paragraph" w:customStyle="1" w:styleId="Quotation7">
    <w:name w:val="Quotation 7"/>
    <w:basedOn w:val="PlainParagraph"/>
    <w:uiPriority w:val="9"/>
    <w:semiHidden/>
    <w:rsid w:val="00030303"/>
    <w:pPr>
      <w:numPr>
        <w:ilvl w:val="7"/>
        <w:numId w:val="28"/>
      </w:numPr>
      <w:tabs>
        <w:tab w:val="clear" w:pos="2976"/>
        <w:tab w:val="num" w:pos="360"/>
      </w:tabs>
      <w:spacing w:before="0" w:line="260" w:lineRule="atLeast"/>
      <w:ind w:left="5760" w:hanging="360"/>
    </w:pPr>
    <w:rPr>
      <w:sz w:val="20"/>
    </w:rPr>
  </w:style>
  <w:style w:type="paragraph" w:customStyle="1" w:styleId="Quotation8">
    <w:name w:val="Quotation 8"/>
    <w:basedOn w:val="PlainParagraph"/>
    <w:uiPriority w:val="9"/>
    <w:semiHidden/>
    <w:rsid w:val="00030303"/>
    <w:pPr>
      <w:numPr>
        <w:ilvl w:val="8"/>
        <w:numId w:val="28"/>
      </w:numPr>
      <w:tabs>
        <w:tab w:val="clear" w:pos="3402"/>
        <w:tab w:val="num" w:pos="360"/>
      </w:tabs>
      <w:spacing w:before="0" w:line="260" w:lineRule="atLeast"/>
      <w:ind w:left="6480" w:hanging="360"/>
    </w:pPr>
    <w:rPr>
      <w:sz w:val="20"/>
    </w:rPr>
  </w:style>
  <w:style w:type="paragraph" w:customStyle="1" w:styleId="DashEm">
    <w:name w:val="Dash: Em"/>
    <w:basedOn w:val="PlainParagraph"/>
    <w:uiPriority w:val="3"/>
    <w:semiHidden/>
    <w:rsid w:val="00030303"/>
    <w:pPr>
      <w:numPr>
        <w:ilvl w:val="1"/>
        <w:numId w:val="53"/>
      </w:numPr>
      <w:spacing w:before="0"/>
    </w:pPr>
  </w:style>
  <w:style w:type="paragraph" w:customStyle="1" w:styleId="DashEm1">
    <w:name w:val="Dash: Em 1"/>
    <w:aliases w:val="-EM"/>
    <w:basedOn w:val="PlainParagraph"/>
    <w:link w:val="DashEm1Char"/>
    <w:uiPriority w:val="3"/>
    <w:semiHidden/>
    <w:rsid w:val="00030303"/>
    <w:pPr>
      <w:numPr>
        <w:numId w:val="53"/>
      </w:numPr>
      <w:spacing w:before="0"/>
    </w:pPr>
  </w:style>
  <w:style w:type="paragraph" w:customStyle="1" w:styleId="DashEn1">
    <w:name w:val="Dash: En 1"/>
    <w:aliases w:val="-EN"/>
    <w:basedOn w:val="DashEm"/>
    <w:link w:val="DashEn1Char"/>
    <w:uiPriority w:val="3"/>
    <w:rsid w:val="00030303"/>
    <w:pPr>
      <w:numPr>
        <w:ilvl w:val="2"/>
      </w:numPr>
    </w:pPr>
  </w:style>
  <w:style w:type="paragraph" w:customStyle="1" w:styleId="DashEn2">
    <w:name w:val="Dash: En 2"/>
    <w:basedOn w:val="DashEn1"/>
    <w:uiPriority w:val="3"/>
    <w:semiHidden/>
    <w:rsid w:val="00030303"/>
    <w:pPr>
      <w:numPr>
        <w:ilvl w:val="3"/>
      </w:numPr>
      <w:tabs>
        <w:tab w:val="clear" w:pos="1276"/>
        <w:tab w:val="num" w:pos="360"/>
        <w:tab w:val="num" w:pos="1209"/>
        <w:tab w:val="num" w:pos="1440"/>
      </w:tabs>
      <w:ind w:left="2880" w:hanging="360"/>
    </w:pPr>
  </w:style>
  <w:style w:type="paragraph" w:customStyle="1" w:styleId="DashEn3">
    <w:name w:val="Dash: En 3"/>
    <w:basedOn w:val="DashEn2"/>
    <w:uiPriority w:val="3"/>
    <w:semiHidden/>
    <w:rsid w:val="00030303"/>
    <w:pPr>
      <w:numPr>
        <w:ilvl w:val="4"/>
      </w:numPr>
      <w:tabs>
        <w:tab w:val="clear" w:pos="1701"/>
        <w:tab w:val="num" w:pos="360"/>
        <w:tab w:val="num" w:pos="1209"/>
        <w:tab w:val="num" w:pos="1800"/>
      </w:tabs>
      <w:ind w:left="3600" w:hanging="360"/>
    </w:pPr>
  </w:style>
  <w:style w:type="paragraph" w:customStyle="1" w:styleId="DashEn4">
    <w:name w:val="Dash: En 4"/>
    <w:basedOn w:val="DashEn3"/>
    <w:uiPriority w:val="3"/>
    <w:semiHidden/>
    <w:rsid w:val="00030303"/>
    <w:pPr>
      <w:numPr>
        <w:ilvl w:val="5"/>
      </w:numPr>
      <w:tabs>
        <w:tab w:val="clear" w:pos="2126"/>
        <w:tab w:val="num" w:pos="360"/>
        <w:tab w:val="num" w:pos="1209"/>
        <w:tab w:val="num" w:pos="2160"/>
      </w:tabs>
      <w:ind w:left="4320" w:hanging="360"/>
    </w:pPr>
  </w:style>
  <w:style w:type="paragraph" w:customStyle="1" w:styleId="DashEn5">
    <w:name w:val="Dash: En 5"/>
    <w:basedOn w:val="DashEn4"/>
    <w:uiPriority w:val="3"/>
    <w:semiHidden/>
    <w:rsid w:val="00030303"/>
    <w:pPr>
      <w:numPr>
        <w:ilvl w:val="6"/>
      </w:numPr>
      <w:tabs>
        <w:tab w:val="clear" w:pos="2551"/>
        <w:tab w:val="num" w:pos="360"/>
        <w:tab w:val="num" w:pos="1209"/>
        <w:tab w:val="num" w:pos="2520"/>
      </w:tabs>
      <w:ind w:left="5040" w:hanging="360"/>
    </w:pPr>
  </w:style>
  <w:style w:type="paragraph" w:customStyle="1" w:styleId="DashEn6">
    <w:name w:val="Dash: En 6"/>
    <w:basedOn w:val="DashEn5"/>
    <w:uiPriority w:val="3"/>
    <w:semiHidden/>
    <w:rsid w:val="00030303"/>
    <w:pPr>
      <w:numPr>
        <w:ilvl w:val="7"/>
      </w:numPr>
      <w:tabs>
        <w:tab w:val="clear" w:pos="2976"/>
        <w:tab w:val="num" w:pos="360"/>
        <w:tab w:val="num" w:pos="1209"/>
        <w:tab w:val="num" w:pos="2880"/>
      </w:tabs>
      <w:ind w:left="5760" w:hanging="360"/>
    </w:pPr>
  </w:style>
  <w:style w:type="paragraph" w:customStyle="1" w:styleId="DashEn7">
    <w:name w:val="Dash: En 7"/>
    <w:basedOn w:val="DashEn6"/>
    <w:uiPriority w:val="3"/>
    <w:semiHidden/>
    <w:rsid w:val="00030303"/>
    <w:pPr>
      <w:numPr>
        <w:ilvl w:val="8"/>
      </w:numPr>
      <w:tabs>
        <w:tab w:val="clear" w:pos="3402"/>
        <w:tab w:val="num" w:pos="360"/>
        <w:tab w:val="num" w:pos="1209"/>
        <w:tab w:val="num" w:pos="3240"/>
      </w:tabs>
      <w:ind w:left="6480" w:hanging="360"/>
    </w:pPr>
  </w:style>
  <w:style w:type="paragraph" w:customStyle="1" w:styleId="IndentHanging">
    <w:name w:val="Indent: Hanging"/>
    <w:aliases w:val="--&gt;H"/>
    <w:basedOn w:val="PlainParagraph"/>
    <w:uiPriority w:val="9"/>
    <w:qFormat/>
    <w:rsid w:val="00030303"/>
    <w:pPr>
      <w:spacing w:before="0"/>
      <w:ind w:left="720" w:hanging="360"/>
    </w:pPr>
  </w:style>
  <w:style w:type="paragraph" w:customStyle="1" w:styleId="IndentHanging1">
    <w:name w:val="Indent: Hanging 1"/>
    <w:basedOn w:val="IndentHanging"/>
    <w:uiPriority w:val="9"/>
    <w:semiHidden/>
    <w:rsid w:val="00030303"/>
    <w:pPr>
      <w:numPr>
        <w:ilvl w:val="1"/>
      </w:numPr>
      <w:ind w:left="1440" w:hanging="360"/>
    </w:pPr>
  </w:style>
  <w:style w:type="paragraph" w:customStyle="1" w:styleId="IndentHanging2">
    <w:name w:val="Indent: Hanging 2"/>
    <w:basedOn w:val="IndentHanging1"/>
    <w:uiPriority w:val="9"/>
    <w:semiHidden/>
    <w:rsid w:val="00030303"/>
    <w:pPr>
      <w:numPr>
        <w:ilvl w:val="2"/>
      </w:numPr>
      <w:ind w:left="2160" w:hanging="360"/>
    </w:pPr>
  </w:style>
  <w:style w:type="paragraph" w:customStyle="1" w:styleId="IndentHanging3">
    <w:name w:val="Indent: Hanging 3"/>
    <w:basedOn w:val="IndentHanging2"/>
    <w:uiPriority w:val="9"/>
    <w:semiHidden/>
    <w:rsid w:val="00030303"/>
    <w:pPr>
      <w:numPr>
        <w:ilvl w:val="3"/>
      </w:numPr>
      <w:ind w:left="2880" w:hanging="360"/>
    </w:pPr>
  </w:style>
  <w:style w:type="paragraph" w:customStyle="1" w:styleId="IndentHanging4">
    <w:name w:val="Indent: Hanging 4"/>
    <w:basedOn w:val="IndentHanging3"/>
    <w:uiPriority w:val="9"/>
    <w:semiHidden/>
    <w:rsid w:val="00030303"/>
    <w:pPr>
      <w:numPr>
        <w:ilvl w:val="4"/>
      </w:numPr>
      <w:ind w:left="3600" w:hanging="360"/>
    </w:pPr>
  </w:style>
  <w:style w:type="paragraph" w:customStyle="1" w:styleId="IndentHanging5">
    <w:name w:val="Indent: Hanging 5"/>
    <w:basedOn w:val="IndentHanging4"/>
    <w:uiPriority w:val="9"/>
    <w:semiHidden/>
    <w:rsid w:val="00030303"/>
    <w:pPr>
      <w:numPr>
        <w:ilvl w:val="5"/>
      </w:numPr>
      <w:ind w:left="4320" w:hanging="360"/>
    </w:pPr>
  </w:style>
  <w:style w:type="paragraph" w:customStyle="1" w:styleId="IndentHanging6">
    <w:name w:val="Indent: Hanging 6"/>
    <w:basedOn w:val="IndentHanging5"/>
    <w:uiPriority w:val="9"/>
    <w:semiHidden/>
    <w:rsid w:val="00030303"/>
    <w:pPr>
      <w:numPr>
        <w:ilvl w:val="6"/>
      </w:numPr>
      <w:ind w:left="5040" w:hanging="360"/>
    </w:pPr>
  </w:style>
  <w:style w:type="paragraph" w:customStyle="1" w:styleId="IndentHanging7">
    <w:name w:val="Indent: Hanging 7"/>
    <w:basedOn w:val="IndentHanging6"/>
    <w:uiPriority w:val="9"/>
    <w:semiHidden/>
    <w:rsid w:val="00030303"/>
    <w:pPr>
      <w:numPr>
        <w:ilvl w:val="7"/>
      </w:numPr>
      <w:ind w:left="5760" w:hanging="360"/>
    </w:pPr>
  </w:style>
  <w:style w:type="paragraph" w:customStyle="1" w:styleId="IndentHanging8">
    <w:name w:val="Indent: Hanging 8"/>
    <w:basedOn w:val="IndentHanging7"/>
    <w:uiPriority w:val="9"/>
    <w:semiHidden/>
    <w:rsid w:val="00030303"/>
    <w:pPr>
      <w:numPr>
        <w:ilvl w:val="8"/>
      </w:numPr>
      <w:ind w:left="6480" w:hanging="360"/>
    </w:pPr>
  </w:style>
  <w:style w:type="paragraph" w:customStyle="1" w:styleId="IndentFull">
    <w:name w:val="Indent: Full"/>
    <w:aliases w:val="--&gt;F"/>
    <w:basedOn w:val="PlainParagraph"/>
    <w:uiPriority w:val="9"/>
    <w:qFormat/>
    <w:rsid w:val="00030303"/>
    <w:pPr>
      <w:numPr>
        <w:numId w:val="30"/>
      </w:numPr>
      <w:tabs>
        <w:tab w:val="clear" w:pos="425"/>
        <w:tab w:val="num" w:pos="360"/>
        <w:tab w:val="num" w:pos="709"/>
      </w:tabs>
      <w:spacing w:before="0"/>
      <w:ind w:left="720" w:hanging="360"/>
    </w:pPr>
  </w:style>
  <w:style w:type="paragraph" w:customStyle="1" w:styleId="IndentFull1">
    <w:name w:val="Indent: Full 1"/>
    <w:basedOn w:val="IndentFull"/>
    <w:uiPriority w:val="9"/>
    <w:semiHidden/>
    <w:rsid w:val="00030303"/>
    <w:pPr>
      <w:numPr>
        <w:ilvl w:val="1"/>
      </w:numPr>
      <w:tabs>
        <w:tab w:val="clear" w:pos="425"/>
        <w:tab w:val="num" w:pos="360"/>
      </w:tabs>
      <w:ind w:left="1440" w:hanging="360"/>
    </w:pPr>
  </w:style>
  <w:style w:type="paragraph" w:customStyle="1" w:styleId="IndentFull2">
    <w:name w:val="Indent: Full 2"/>
    <w:basedOn w:val="IndentFull1"/>
    <w:uiPriority w:val="9"/>
    <w:semiHidden/>
    <w:rsid w:val="00030303"/>
    <w:pPr>
      <w:numPr>
        <w:ilvl w:val="2"/>
      </w:numPr>
      <w:tabs>
        <w:tab w:val="clear" w:pos="850"/>
        <w:tab w:val="num" w:pos="360"/>
        <w:tab w:val="num" w:pos="709"/>
      </w:tabs>
      <w:ind w:left="2160" w:hanging="360"/>
    </w:pPr>
  </w:style>
  <w:style w:type="paragraph" w:customStyle="1" w:styleId="IndentFull3">
    <w:name w:val="Indent: Full 3"/>
    <w:basedOn w:val="IndentFull2"/>
    <w:uiPriority w:val="9"/>
    <w:semiHidden/>
    <w:rsid w:val="00030303"/>
    <w:pPr>
      <w:numPr>
        <w:ilvl w:val="3"/>
      </w:numPr>
      <w:tabs>
        <w:tab w:val="clear" w:pos="1276"/>
        <w:tab w:val="num" w:pos="360"/>
        <w:tab w:val="num" w:pos="709"/>
      </w:tabs>
      <w:ind w:left="2880" w:hanging="360"/>
    </w:pPr>
  </w:style>
  <w:style w:type="paragraph" w:customStyle="1" w:styleId="IndentFull4">
    <w:name w:val="Indent: Full 4"/>
    <w:basedOn w:val="IndentFull3"/>
    <w:uiPriority w:val="9"/>
    <w:semiHidden/>
    <w:rsid w:val="00030303"/>
    <w:pPr>
      <w:numPr>
        <w:ilvl w:val="4"/>
      </w:numPr>
      <w:tabs>
        <w:tab w:val="clear" w:pos="1701"/>
        <w:tab w:val="num" w:pos="360"/>
        <w:tab w:val="num" w:pos="709"/>
      </w:tabs>
      <w:ind w:left="3600" w:hanging="360"/>
    </w:pPr>
  </w:style>
  <w:style w:type="paragraph" w:customStyle="1" w:styleId="IndentFull5">
    <w:name w:val="Indent: Full 5"/>
    <w:basedOn w:val="IndentFull4"/>
    <w:uiPriority w:val="9"/>
    <w:semiHidden/>
    <w:rsid w:val="00030303"/>
    <w:pPr>
      <w:numPr>
        <w:ilvl w:val="5"/>
      </w:numPr>
      <w:tabs>
        <w:tab w:val="clear" w:pos="2126"/>
        <w:tab w:val="num" w:pos="360"/>
        <w:tab w:val="num" w:pos="709"/>
      </w:tabs>
      <w:ind w:left="4320" w:hanging="360"/>
    </w:pPr>
  </w:style>
  <w:style w:type="paragraph" w:customStyle="1" w:styleId="IndentFull6">
    <w:name w:val="Indent: Full 6"/>
    <w:basedOn w:val="IndentFull5"/>
    <w:uiPriority w:val="9"/>
    <w:semiHidden/>
    <w:rsid w:val="00030303"/>
    <w:pPr>
      <w:numPr>
        <w:ilvl w:val="6"/>
      </w:numPr>
      <w:tabs>
        <w:tab w:val="clear" w:pos="2551"/>
        <w:tab w:val="num" w:pos="360"/>
        <w:tab w:val="num" w:pos="709"/>
        <w:tab w:val="num" w:pos="1843"/>
      </w:tabs>
      <w:ind w:left="5040" w:hanging="360"/>
    </w:pPr>
  </w:style>
  <w:style w:type="paragraph" w:customStyle="1" w:styleId="IndentFull7">
    <w:name w:val="Indent: Full 7"/>
    <w:basedOn w:val="IndentFull6"/>
    <w:uiPriority w:val="9"/>
    <w:semiHidden/>
    <w:rsid w:val="00030303"/>
    <w:pPr>
      <w:numPr>
        <w:ilvl w:val="7"/>
      </w:numPr>
      <w:tabs>
        <w:tab w:val="clear" w:pos="2976"/>
        <w:tab w:val="num" w:pos="360"/>
        <w:tab w:val="num" w:pos="709"/>
        <w:tab w:val="num" w:pos="2410"/>
      </w:tabs>
      <w:ind w:left="5760" w:hanging="360"/>
    </w:pPr>
  </w:style>
  <w:style w:type="paragraph" w:customStyle="1" w:styleId="IndentFull8">
    <w:name w:val="Indent: Full 8"/>
    <w:basedOn w:val="IndentFull7"/>
    <w:uiPriority w:val="9"/>
    <w:semiHidden/>
    <w:rsid w:val="00030303"/>
    <w:pPr>
      <w:numPr>
        <w:ilvl w:val="8"/>
      </w:numPr>
      <w:tabs>
        <w:tab w:val="clear" w:pos="3402"/>
        <w:tab w:val="num" w:pos="360"/>
        <w:tab w:val="num" w:pos="709"/>
        <w:tab w:val="num" w:pos="2835"/>
      </w:tabs>
      <w:ind w:left="6480" w:hanging="360"/>
    </w:pPr>
  </w:style>
  <w:style w:type="paragraph" w:customStyle="1" w:styleId="NumberedList1">
    <w:name w:val="Numbered List: 1)"/>
    <w:basedOn w:val="PlainParagraph"/>
    <w:uiPriority w:val="8"/>
    <w:semiHidden/>
    <w:rsid w:val="00030303"/>
    <w:pPr>
      <w:numPr>
        <w:numId w:val="31"/>
      </w:numPr>
      <w:tabs>
        <w:tab w:val="clear" w:pos="850"/>
        <w:tab w:val="num" w:pos="360"/>
      </w:tabs>
      <w:spacing w:before="0"/>
      <w:ind w:left="720" w:hanging="360"/>
    </w:pPr>
  </w:style>
  <w:style w:type="paragraph" w:customStyle="1" w:styleId="NumberedList11">
    <w:name w:val="Numbered List: 1) 1"/>
    <w:aliases w:val="1)"/>
    <w:basedOn w:val="NumberedList1"/>
    <w:uiPriority w:val="8"/>
    <w:qFormat/>
    <w:rsid w:val="00030303"/>
    <w:pPr>
      <w:numPr>
        <w:ilvl w:val="1"/>
      </w:numPr>
      <w:tabs>
        <w:tab w:val="clear" w:pos="850"/>
        <w:tab w:val="num" w:pos="360"/>
      </w:tabs>
      <w:ind w:left="1440" w:hanging="360"/>
    </w:pPr>
  </w:style>
  <w:style w:type="paragraph" w:customStyle="1" w:styleId="NumberedList12">
    <w:name w:val="Numbered List: 1) 2"/>
    <w:basedOn w:val="NumberedList11"/>
    <w:uiPriority w:val="8"/>
    <w:semiHidden/>
    <w:rsid w:val="00030303"/>
    <w:pPr>
      <w:numPr>
        <w:ilvl w:val="2"/>
      </w:numPr>
      <w:tabs>
        <w:tab w:val="clear" w:pos="1276"/>
        <w:tab w:val="num" w:pos="360"/>
      </w:tabs>
      <w:ind w:left="2160" w:hanging="180"/>
    </w:pPr>
  </w:style>
  <w:style w:type="paragraph" w:customStyle="1" w:styleId="NumberedList13">
    <w:name w:val="Numbered List: 1) 3"/>
    <w:basedOn w:val="NumberedList12"/>
    <w:uiPriority w:val="8"/>
    <w:semiHidden/>
    <w:rsid w:val="00030303"/>
    <w:pPr>
      <w:numPr>
        <w:ilvl w:val="3"/>
      </w:numPr>
      <w:tabs>
        <w:tab w:val="clear" w:pos="1701"/>
        <w:tab w:val="num" w:pos="360"/>
      </w:tabs>
      <w:ind w:left="2880" w:hanging="360"/>
    </w:pPr>
  </w:style>
  <w:style w:type="paragraph" w:customStyle="1" w:styleId="NumberedList14">
    <w:name w:val="Numbered List: 1) 4"/>
    <w:basedOn w:val="NumberedList13"/>
    <w:uiPriority w:val="8"/>
    <w:semiHidden/>
    <w:rsid w:val="00030303"/>
    <w:pPr>
      <w:numPr>
        <w:ilvl w:val="4"/>
      </w:numPr>
      <w:tabs>
        <w:tab w:val="clear" w:pos="2126"/>
        <w:tab w:val="num" w:pos="360"/>
      </w:tabs>
      <w:ind w:left="3600" w:hanging="360"/>
    </w:pPr>
  </w:style>
  <w:style w:type="paragraph" w:customStyle="1" w:styleId="NumberedList15">
    <w:name w:val="Numbered List: 1) 5"/>
    <w:basedOn w:val="NumberedList14"/>
    <w:uiPriority w:val="8"/>
    <w:semiHidden/>
    <w:rsid w:val="00030303"/>
    <w:pPr>
      <w:numPr>
        <w:ilvl w:val="5"/>
      </w:numPr>
      <w:tabs>
        <w:tab w:val="clear" w:pos="2551"/>
        <w:tab w:val="num" w:pos="360"/>
      </w:tabs>
      <w:ind w:left="4320" w:hanging="180"/>
    </w:pPr>
  </w:style>
  <w:style w:type="paragraph" w:customStyle="1" w:styleId="NumberedList16">
    <w:name w:val="Numbered List: 1) 6"/>
    <w:basedOn w:val="NumberedList15"/>
    <w:uiPriority w:val="8"/>
    <w:semiHidden/>
    <w:rsid w:val="00030303"/>
    <w:pPr>
      <w:numPr>
        <w:ilvl w:val="6"/>
      </w:numPr>
      <w:tabs>
        <w:tab w:val="clear" w:pos="2976"/>
        <w:tab w:val="num" w:pos="360"/>
      </w:tabs>
      <w:ind w:left="5040" w:hanging="360"/>
    </w:pPr>
  </w:style>
  <w:style w:type="paragraph" w:customStyle="1" w:styleId="NumberedList17">
    <w:name w:val="Numbered List: 1) 7"/>
    <w:basedOn w:val="NumberedList16"/>
    <w:uiPriority w:val="8"/>
    <w:semiHidden/>
    <w:rsid w:val="00030303"/>
    <w:pPr>
      <w:numPr>
        <w:ilvl w:val="7"/>
      </w:numPr>
      <w:tabs>
        <w:tab w:val="clear" w:pos="3402"/>
        <w:tab w:val="num" w:pos="360"/>
      </w:tabs>
      <w:ind w:left="5760" w:hanging="360"/>
    </w:pPr>
  </w:style>
  <w:style w:type="paragraph" w:customStyle="1" w:styleId="NumberedList18">
    <w:name w:val="Numbered List: 1) 8"/>
    <w:basedOn w:val="NumberedList17"/>
    <w:uiPriority w:val="8"/>
    <w:semiHidden/>
    <w:rsid w:val="00030303"/>
    <w:pPr>
      <w:numPr>
        <w:ilvl w:val="8"/>
      </w:numPr>
      <w:tabs>
        <w:tab w:val="clear" w:pos="3827"/>
        <w:tab w:val="num" w:pos="360"/>
      </w:tabs>
      <w:ind w:left="6480" w:hanging="180"/>
    </w:pPr>
  </w:style>
  <w:style w:type="paragraph" w:customStyle="1" w:styleId="NumberedLista">
    <w:name w:val="Numbered List: a)"/>
    <w:basedOn w:val="PlainParagraph"/>
    <w:uiPriority w:val="8"/>
    <w:semiHidden/>
    <w:rsid w:val="00030303"/>
    <w:pPr>
      <w:numPr>
        <w:numId w:val="32"/>
      </w:numPr>
      <w:tabs>
        <w:tab w:val="clear" w:pos="850"/>
        <w:tab w:val="num" w:pos="360"/>
        <w:tab w:val="num" w:pos="425"/>
      </w:tabs>
      <w:spacing w:before="0"/>
      <w:ind w:left="720" w:hanging="360"/>
    </w:pPr>
  </w:style>
  <w:style w:type="paragraph" w:customStyle="1" w:styleId="NumberedLista1">
    <w:name w:val="Numbered List: a) 1"/>
    <w:aliases w:val="a)"/>
    <w:basedOn w:val="NumberedLista"/>
    <w:uiPriority w:val="8"/>
    <w:qFormat/>
    <w:rsid w:val="00030303"/>
    <w:pPr>
      <w:numPr>
        <w:ilvl w:val="1"/>
      </w:numPr>
      <w:tabs>
        <w:tab w:val="clear" w:pos="850"/>
        <w:tab w:val="num" w:pos="360"/>
        <w:tab w:val="num" w:pos="425"/>
        <w:tab w:val="num" w:pos="709"/>
      </w:tabs>
      <w:ind w:left="1440" w:hanging="360"/>
    </w:pPr>
  </w:style>
  <w:style w:type="paragraph" w:customStyle="1" w:styleId="NumberedLista2">
    <w:name w:val="Numbered List: a) 2"/>
    <w:basedOn w:val="NumberedLista1"/>
    <w:uiPriority w:val="8"/>
    <w:semiHidden/>
    <w:rsid w:val="00030303"/>
    <w:pPr>
      <w:numPr>
        <w:ilvl w:val="2"/>
      </w:numPr>
      <w:tabs>
        <w:tab w:val="clear" w:pos="1276"/>
        <w:tab w:val="num" w:pos="360"/>
        <w:tab w:val="num" w:pos="425"/>
        <w:tab w:val="num" w:pos="850"/>
      </w:tabs>
      <w:ind w:left="2160" w:hanging="180"/>
    </w:pPr>
  </w:style>
  <w:style w:type="paragraph" w:customStyle="1" w:styleId="NumberedLista3">
    <w:name w:val="Numbered List: a) 3"/>
    <w:basedOn w:val="NumberedLista2"/>
    <w:uiPriority w:val="8"/>
    <w:semiHidden/>
    <w:rsid w:val="00030303"/>
    <w:pPr>
      <w:numPr>
        <w:ilvl w:val="3"/>
      </w:numPr>
      <w:tabs>
        <w:tab w:val="clear" w:pos="1701"/>
        <w:tab w:val="num" w:pos="360"/>
        <w:tab w:val="num" w:pos="425"/>
        <w:tab w:val="num" w:pos="1276"/>
      </w:tabs>
      <w:ind w:left="2880" w:hanging="360"/>
    </w:pPr>
  </w:style>
  <w:style w:type="paragraph" w:customStyle="1" w:styleId="NumberedLista4">
    <w:name w:val="Numbered List: a) 4"/>
    <w:basedOn w:val="NumberedLista3"/>
    <w:uiPriority w:val="8"/>
    <w:semiHidden/>
    <w:rsid w:val="00030303"/>
    <w:pPr>
      <w:numPr>
        <w:ilvl w:val="4"/>
      </w:numPr>
      <w:tabs>
        <w:tab w:val="clear" w:pos="2126"/>
        <w:tab w:val="num" w:pos="360"/>
        <w:tab w:val="num" w:pos="425"/>
        <w:tab w:val="num" w:pos="1701"/>
      </w:tabs>
      <w:ind w:left="3600" w:hanging="360"/>
    </w:pPr>
  </w:style>
  <w:style w:type="paragraph" w:customStyle="1" w:styleId="NumberedLista5">
    <w:name w:val="Numbered List: a) 5"/>
    <w:basedOn w:val="NumberedLista4"/>
    <w:uiPriority w:val="8"/>
    <w:semiHidden/>
    <w:rsid w:val="00030303"/>
    <w:pPr>
      <w:numPr>
        <w:ilvl w:val="5"/>
      </w:numPr>
      <w:tabs>
        <w:tab w:val="clear" w:pos="2551"/>
        <w:tab w:val="num" w:pos="360"/>
        <w:tab w:val="num" w:pos="425"/>
        <w:tab w:val="num" w:pos="1418"/>
        <w:tab w:val="num" w:pos="2126"/>
      </w:tabs>
      <w:ind w:left="4320" w:hanging="180"/>
    </w:pPr>
  </w:style>
  <w:style w:type="paragraph" w:customStyle="1" w:styleId="NumberedLista6">
    <w:name w:val="Numbered List: a) 6"/>
    <w:basedOn w:val="NumberedLista5"/>
    <w:uiPriority w:val="8"/>
    <w:semiHidden/>
    <w:rsid w:val="00030303"/>
    <w:pPr>
      <w:numPr>
        <w:ilvl w:val="6"/>
      </w:numPr>
      <w:tabs>
        <w:tab w:val="clear" w:pos="2976"/>
        <w:tab w:val="num" w:pos="360"/>
        <w:tab w:val="num" w:pos="425"/>
        <w:tab w:val="num" w:pos="1843"/>
        <w:tab w:val="num" w:pos="2551"/>
      </w:tabs>
      <w:ind w:left="5040" w:hanging="360"/>
    </w:pPr>
  </w:style>
  <w:style w:type="paragraph" w:customStyle="1" w:styleId="NumberedLista7">
    <w:name w:val="Numbered List: a) 7"/>
    <w:basedOn w:val="NumberedLista6"/>
    <w:uiPriority w:val="8"/>
    <w:semiHidden/>
    <w:rsid w:val="00030303"/>
    <w:pPr>
      <w:numPr>
        <w:ilvl w:val="7"/>
      </w:numPr>
      <w:tabs>
        <w:tab w:val="clear" w:pos="3402"/>
        <w:tab w:val="num" w:pos="360"/>
        <w:tab w:val="num" w:pos="425"/>
        <w:tab w:val="num" w:pos="2410"/>
        <w:tab w:val="num" w:pos="2976"/>
      </w:tabs>
      <w:ind w:left="5760" w:hanging="360"/>
    </w:pPr>
  </w:style>
  <w:style w:type="paragraph" w:customStyle="1" w:styleId="NumberedLista8">
    <w:name w:val="Numbered List: a) 8"/>
    <w:basedOn w:val="NumberedLista7"/>
    <w:uiPriority w:val="8"/>
    <w:semiHidden/>
    <w:rsid w:val="00030303"/>
    <w:pPr>
      <w:numPr>
        <w:ilvl w:val="8"/>
      </w:numPr>
      <w:tabs>
        <w:tab w:val="clear" w:pos="3827"/>
        <w:tab w:val="num" w:pos="360"/>
        <w:tab w:val="num" w:pos="425"/>
        <w:tab w:val="num" w:pos="2835"/>
        <w:tab w:val="num" w:pos="3402"/>
      </w:tabs>
      <w:ind w:left="6480" w:hanging="180"/>
    </w:pPr>
  </w:style>
  <w:style w:type="paragraph" w:customStyle="1" w:styleId="Notes-client">
    <w:name w:val="Notes - client"/>
    <w:aliases w:val="N Client"/>
    <w:basedOn w:val="PlainParagraph"/>
    <w:uiPriority w:val="6"/>
    <w:rsid w:val="00030303"/>
    <w:pPr>
      <w:pBdr>
        <w:top w:val="single" w:sz="8" w:space="0" w:color="0000FF"/>
        <w:left w:val="single" w:sz="8" w:space="0" w:color="0000FF"/>
        <w:bottom w:val="single" w:sz="8" w:space="0" w:color="0000FF"/>
        <w:right w:val="single" w:sz="8" w:space="0" w:color="0000FF"/>
      </w:pBdr>
      <w:spacing w:before="200"/>
    </w:pPr>
    <w:rPr>
      <w:color w:val="0000FF"/>
    </w:rPr>
  </w:style>
  <w:style w:type="paragraph" w:customStyle="1" w:styleId="Notes-3rdParty">
    <w:name w:val="Notes - 3rd Party"/>
    <w:aliases w:val="N 3rd P"/>
    <w:basedOn w:val="PlainParagraph"/>
    <w:uiPriority w:val="6"/>
    <w:rsid w:val="00030303"/>
    <w:pPr>
      <w:pBdr>
        <w:top w:val="double" w:sz="6" w:space="0" w:color="008000"/>
        <w:left w:val="double" w:sz="6" w:space="0" w:color="008000"/>
        <w:bottom w:val="double" w:sz="6" w:space="0" w:color="008000"/>
        <w:right w:val="double" w:sz="6" w:space="0" w:color="008000"/>
      </w:pBdr>
      <w:spacing w:before="200"/>
    </w:pPr>
    <w:rPr>
      <w:color w:val="008000"/>
    </w:rPr>
  </w:style>
  <w:style w:type="paragraph" w:customStyle="1" w:styleId="Instruction">
    <w:name w:val="Instruction"/>
    <w:basedOn w:val="PlainParagraph"/>
    <w:uiPriority w:val="99"/>
    <w:semiHidden/>
    <w:rsid w:val="00030303"/>
    <w:rPr>
      <w:vanish/>
      <w:color w:val="0000FF"/>
    </w:rPr>
  </w:style>
  <w:style w:type="paragraph" w:customStyle="1" w:styleId="TablePlainParagraph">
    <w:name w:val="Table: Plain Paragraph"/>
    <w:aliases w:val="Table PP"/>
    <w:basedOn w:val="PlainParagraph"/>
    <w:uiPriority w:val="11"/>
    <w:qFormat/>
    <w:rsid w:val="00030303"/>
    <w:pPr>
      <w:spacing w:before="60" w:after="60" w:line="240" w:lineRule="atLeast"/>
    </w:pPr>
    <w:rPr>
      <w:sz w:val="20"/>
    </w:rPr>
  </w:style>
  <w:style w:type="paragraph" w:customStyle="1" w:styleId="TableHeading1">
    <w:name w:val="Table: Heading 1"/>
    <w:basedOn w:val="PlainParagraph"/>
    <w:uiPriority w:val="12"/>
    <w:rsid w:val="00030303"/>
    <w:pPr>
      <w:keepNext/>
      <w:keepLines/>
      <w:spacing w:before="60" w:after="0" w:line="240" w:lineRule="atLeast"/>
    </w:pPr>
    <w:rPr>
      <w:b/>
      <w:caps/>
      <w:sz w:val="20"/>
    </w:rPr>
  </w:style>
  <w:style w:type="paragraph" w:customStyle="1" w:styleId="TableHeading2">
    <w:name w:val="Table: Heading 2"/>
    <w:basedOn w:val="HeadingBase"/>
    <w:next w:val="TablePlainParagraph"/>
    <w:uiPriority w:val="12"/>
    <w:rsid w:val="00030303"/>
    <w:pPr>
      <w:keepNext/>
      <w:keepLines/>
      <w:spacing w:before="60" w:line="240" w:lineRule="atLeast"/>
    </w:pPr>
    <w:rPr>
      <w:b/>
    </w:rPr>
  </w:style>
  <w:style w:type="paragraph" w:customStyle="1" w:styleId="TableHeading3">
    <w:name w:val="Table: Heading 3"/>
    <w:basedOn w:val="HeadingBase"/>
    <w:next w:val="TablePlainParagraph"/>
    <w:uiPriority w:val="12"/>
    <w:rsid w:val="00030303"/>
    <w:pPr>
      <w:keepNext/>
      <w:keepLines/>
      <w:spacing w:before="60" w:line="240" w:lineRule="atLeast"/>
    </w:pPr>
    <w:rPr>
      <w:b/>
      <w:i/>
    </w:rPr>
  </w:style>
  <w:style w:type="paragraph" w:customStyle="1" w:styleId="TableHeading4">
    <w:name w:val="Table: Heading 4"/>
    <w:basedOn w:val="HeadingBase"/>
    <w:next w:val="TablePlainParagraph"/>
    <w:uiPriority w:val="12"/>
    <w:rsid w:val="00030303"/>
    <w:pPr>
      <w:keepNext/>
      <w:keepLines/>
      <w:spacing w:before="60" w:line="240" w:lineRule="atLeast"/>
    </w:pPr>
    <w:rPr>
      <w:i/>
    </w:rPr>
  </w:style>
  <w:style w:type="paragraph" w:customStyle="1" w:styleId="TableHeading5">
    <w:name w:val="Table: Heading 5"/>
    <w:basedOn w:val="HeadingBase"/>
    <w:next w:val="TablePlainParagraph"/>
    <w:uiPriority w:val="12"/>
    <w:rsid w:val="00030303"/>
    <w:pPr>
      <w:keepNext/>
      <w:keepLines/>
      <w:spacing w:before="60" w:line="240" w:lineRule="atLeast"/>
    </w:pPr>
    <w:rPr>
      <w:b/>
      <w:sz w:val="18"/>
    </w:rPr>
  </w:style>
  <w:style w:type="paragraph" w:customStyle="1" w:styleId="TableQAQuestion">
    <w:name w:val="Table: Q&amp;A: Question"/>
    <w:aliases w:val="?QQ"/>
    <w:basedOn w:val="TablePlainParagraph"/>
    <w:next w:val="TableQAAnswer"/>
    <w:uiPriority w:val="12"/>
    <w:rsid w:val="00030303"/>
    <w:pPr>
      <w:keepNext/>
      <w:widowControl w:val="0"/>
      <w:tabs>
        <w:tab w:val="left" w:pos="283"/>
        <w:tab w:val="left" w:pos="567"/>
      </w:tabs>
      <w:ind w:left="283" w:hanging="283"/>
    </w:pPr>
    <w:rPr>
      <w:i/>
    </w:rPr>
  </w:style>
  <w:style w:type="paragraph" w:customStyle="1" w:styleId="TableQAAnswer">
    <w:name w:val="Table: Q&amp;A: Answer"/>
    <w:aliases w:val="?QA"/>
    <w:basedOn w:val="TablePlainParagraph"/>
    <w:next w:val="TableQAQuestion"/>
    <w:uiPriority w:val="12"/>
    <w:rsid w:val="00030303"/>
    <w:pPr>
      <w:tabs>
        <w:tab w:val="left" w:pos="283"/>
        <w:tab w:val="left" w:pos="567"/>
      </w:tabs>
      <w:spacing w:before="0"/>
      <w:ind w:left="283" w:hanging="283"/>
    </w:pPr>
  </w:style>
  <w:style w:type="paragraph" w:customStyle="1" w:styleId="TableQAText">
    <w:name w:val="Table: Q&amp;A: Text"/>
    <w:basedOn w:val="TablePlainParagraph"/>
    <w:uiPriority w:val="12"/>
    <w:rsid w:val="00030303"/>
    <w:pPr>
      <w:keepNext/>
      <w:widowControl w:val="0"/>
      <w:ind w:left="283" w:hanging="283"/>
    </w:pPr>
    <w:rPr>
      <w:i/>
    </w:rPr>
  </w:style>
  <w:style w:type="paragraph" w:customStyle="1" w:styleId="TableNumberLevel1">
    <w:name w:val="Table: Number Level 1"/>
    <w:aliases w:val="Table N1"/>
    <w:basedOn w:val="TablePlainParagraph"/>
    <w:link w:val="TableNumberLevel1Char"/>
    <w:uiPriority w:val="12"/>
    <w:qFormat/>
    <w:rsid w:val="00030303"/>
    <w:pPr>
      <w:numPr>
        <w:numId w:val="33"/>
      </w:numPr>
      <w:tabs>
        <w:tab w:val="clear" w:pos="567"/>
        <w:tab w:val="num" w:pos="360"/>
        <w:tab w:val="num" w:pos="850"/>
      </w:tabs>
      <w:ind w:left="720" w:hanging="360"/>
    </w:pPr>
  </w:style>
  <w:style w:type="paragraph" w:customStyle="1" w:styleId="TableNumberLevel2">
    <w:name w:val="Table: Number Level 2"/>
    <w:basedOn w:val="TablePlainParagraph"/>
    <w:uiPriority w:val="12"/>
    <w:rsid w:val="00030303"/>
    <w:pPr>
      <w:numPr>
        <w:ilvl w:val="1"/>
        <w:numId w:val="33"/>
      </w:numPr>
      <w:tabs>
        <w:tab w:val="clear" w:pos="567"/>
        <w:tab w:val="num" w:pos="360"/>
        <w:tab w:val="num" w:pos="850"/>
      </w:tabs>
      <w:ind w:left="1440" w:hanging="360"/>
    </w:pPr>
  </w:style>
  <w:style w:type="paragraph" w:customStyle="1" w:styleId="TableNumberLevel3">
    <w:name w:val="Table: Number Level 3"/>
    <w:basedOn w:val="TablePlainParagraph"/>
    <w:uiPriority w:val="12"/>
    <w:rsid w:val="00030303"/>
    <w:pPr>
      <w:numPr>
        <w:ilvl w:val="2"/>
        <w:numId w:val="33"/>
      </w:numPr>
      <w:tabs>
        <w:tab w:val="clear" w:pos="567"/>
        <w:tab w:val="num" w:pos="360"/>
        <w:tab w:val="num" w:pos="1276"/>
      </w:tabs>
      <w:ind w:left="2160" w:hanging="360"/>
    </w:pPr>
  </w:style>
  <w:style w:type="paragraph" w:customStyle="1" w:styleId="TableNumberLevel4">
    <w:name w:val="Table: Number Level 4"/>
    <w:basedOn w:val="TablePlainParagraph"/>
    <w:uiPriority w:val="12"/>
    <w:rsid w:val="00030303"/>
    <w:pPr>
      <w:numPr>
        <w:ilvl w:val="3"/>
        <w:numId w:val="33"/>
      </w:numPr>
      <w:tabs>
        <w:tab w:val="clear" w:pos="850"/>
        <w:tab w:val="num" w:pos="360"/>
        <w:tab w:val="num" w:pos="1701"/>
      </w:tabs>
      <w:spacing w:before="0"/>
      <w:ind w:left="2880" w:hanging="360"/>
    </w:pPr>
  </w:style>
  <w:style w:type="paragraph" w:customStyle="1" w:styleId="TableNumberLevel5">
    <w:name w:val="Table: Number Level 5"/>
    <w:basedOn w:val="TablePlainParagraph"/>
    <w:uiPriority w:val="12"/>
    <w:semiHidden/>
    <w:rsid w:val="00030303"/>
    <w:pPr>
      <w:numPr>
        <w:ilvl w:val="4"/>
        <w:numId w:val="33"/>
      </w:numPr>
      <w:tabs>
        <w:tab w:val="clear" w:pos="1134"/>
        <w:tab w:val="num" w:pos="360"/>
        <w:tab w:val="num" w:pos="2126"/>
      </w:tabs>
      <w:spacing w:before="0"/>
      <w:ind w:left="3600" w:hanging="360"/>
    </w:pPr>
  </w:style>
  <w:style w:type="paragraph" w:customStyle="1" w:styleId="TableNumberLevel6">
    <w:name w:val="Table: Number Level 6"/>
    <w:basedOn w:val="TablePlainParagraph"/>
    <w:uiPriority w:val="12"/>
    <w:semiHidden/>
    <w:rsid w:val="00030303"/>
    <w:pPr>
      <w:numPr>
        <w:ilvl w:val="5"/>
        <w:numId w:val="33"/>
      </w:numPr>
      <w:tabs>
        <w:tab w:val="clear" w:pos="1417"/>
        <w:tab w:val="num" w:pos="360"/>
        <w:tab w:val="num" w:pos="2551"/>
      </w:tabs>
      <w:spacing w:before="0"/>
      <w:ind w:left="4320" w:hanging="360"/>
    </w:pPr>
  </w:style>
  <w:style w:type="paragraph" w:customStyle="1" w:styleId="TableNumberLevel7">
    <w:name w:val="Table: Number Level 7"/>
    <w:basedOn w:val="TablePlainParagraph"/>
    <w:uiPriority w:val="12"/>
    <w:semiHidden/>
    <w:rsid w:val="00030303"/>
    <w:pPr>
      <w:numPr>
        <w:ilvl w:val="6"/>
        <w:numId w:val="33"/>
      </w:numPr>
      <w:tabs>
        <w:tab w:val="clear" w:pos="1701"/>
        <w:tab w:val="num" w:pos="360"/>
        <w:tab w:val="num" w:pos="2976"/>
      </w:tabs>
      <w:spacing w:before="0"/>
      <w:ind w:left="5040" w:hanging="360"/>
    </w:pPr>
  </w:style>
  <w:style w:type="paragraph" w:customStyle="1" w:styleId="TableNumberLevel8">
    <w:name w:val="Table: Number Level 8"/>
    <w:basedOn w:val="TablePlainParagraph"/>
    <w:uiPriority w:val="12"/>
    <w:semiHidden/>
    <w:rsid w:val="00030303"/>
    <w:pPr>
      <w:numPr>
        <w:ilvl w:val="7"/>
        <w:numId w:val="33"/>
      </w:numPr>
      <w:tabs>
        <w:tab w:val="clear" w:pos="1984"/>
        <w:tab w:val="num" w:pos="360"/>
        <w:tab w:val="num" w:pos="3402"/>
      </w:tabs>
      <w:spacing w:before="0"/>
      <w:ind w:left="5760" w:hanging="360"/>
    </w:pPr>
  </w:style>
  <w:style w:type="paragraph" w:customStyle="1" w:styleId="TableNumberLevel9">
    <w:name w:val="Table: Number Level 9"/>
    <w:basedOn w:val="TablePlainParagraph"/>
    <w:uiPriority w:val="12"/>
    <w:semiHidden/>
    <w:rsid w:val="00030303"/>
    <w:pPr>
      <w:numPr>
        <w:ilvl w:val="8"/>
        <w:numId w:val="33"/>
      </w:numPr>
      <w:tabs>
        <w:tab w:val="clear" w:pos="2268"/>
        <w:tab w:val="num" w:pos="360"/>
        <w:tab w:val="num" w:pos="3827"/>
      </w:tabs>
      <w:spacing w:before="0"/>
      <w:ind w:left="6480" w:hanging="360"/>
    </w:pPr>
  </w:style>
  <w:style w:type="paragraph" w:customStyle="1" w:styleId="TableDashEm">
    <w:name w:val="Table: Dash: Em"/>
    <w:basedOn w:val="TablePlainParagraph"/>
    <w:uiPriority w:val="12"/>
    <w:semiHidden/>
    <w:rsid w:val="00030303"/>
    <w:pPr>
      <w:spacing w:before="0"/>
    </w:pPr>
  </w:style>
  <w:style w:type="paragraph" w:customStyle="1" w:styleId="TableDashEm1">
    <w:name w:val="Table: Dash: Em 1"/>
    <w:basedOn w:val="TablePlainParagraph"/>
    <w:uiPriority w:val="12"/>
    <w:semiHidden/>
    <w:rsid w:val="00030303"/>
    <w:pPr>
      <w:spacing w:before="0"/>
    </w:pPr>
  </w:style>
  <w:style w:type="paragraph" w:customStyle="1" w:styleId="TableDashEn1">
    <w:name w:val="Table: Dash: En 1"/>
    <w:basedOn w:val="TablePlainParagraph"/>
    <w:uiPriority w:val="12"/>
    <w:rsid w:val="00030303"/>
    <w:pPr>
      <w:numPr>
        <w:ilvl w:val="2"/>
        <w:numId w:val="34"/>
      </w:numPr>
      <w:tabs>
        <w:tab w:val="clear" w:pos="567"/>
        <w:tab w:val="num" w:pos="360"/>
        <w:tab w:val="num" w:pos="1276"/>
      </w:tabs>
      <w:spacing w:before="0"/>
      <w:ind w:left="2160" w:hanging="360"/>
    </w:pPr>
  </w:style>
  <w:style w:type="paragraph" w:customStyle="1" w:styleId="TableDashEn2">
    <w:name w:val="Table: Dash: En 2"/>
    <w:basedOn w:val="TablePlainParagraph"/>
    <w:uiPriority w:val="12"/>
    <w:semiHidden/>
    <w:rsid w:val="00030303"/>
    <w:pPr>
      <w:numPr>
        <w:ilvl w:val="3"/>
        <w:numId w:val="34"/>
      </w:numPr>
      <w:tabs>
        <w:tab w:val="clear" w:pos="1134"/>
        <w:tab w:val="num" w:pos="360"/>
        <w:tab w:val="num" w:pos="1701"/>
      </w:tabs>
      <w:spacing w:before="0"/>
      <w:ind w:left="2880" w:hanging="360"/>
    </w:pPr>
  </w:style>
  <w:style w:type="paragraph" w:customStyle="1" w:styleId="TableDashEn3">
    <w:name w:val="Table: Dash: En 3"/>
    <w:basedOn w:val="TablePlainParagraph"/>
    <w:uiPriority w:val="12"/>
    <w:semiHidden/>
    <w:rsid w:val="00030303"/>
    <w:pPr>
      <w:numPr>
        <w:ilvl w:val="4"/>
        <w:numId w:val="34"/>
      </w:numPr>
      <w:tabs>
        <w:tab w:val="clear" w:pos="1417"/>
        <w:tab w:val="num" w:pos="360"/>
        <w:tab w:val="num" w:pos="2126"/>
      </w:tabs>
      <w:spacing w:before="0"/>
      <w:ind w:left="3600" w:hanging="360"/>
    </w:pPr>
  </w:style>
  <w:style w:type="paragraph" w:customStyle="1" w:styleId="TableDashEn4">
    <w:name w:val="Table: Dash: En 4"/>
    <w:basedOn w:val="TablePlainParagraph"/>
    <w:uiPriority w:val="12"/>
    <w:semiHidden/>
    <w:rsid w:val="00030303"/>
    <w:pPr>
      <w:numPr>
        <w:ilvl w:val="5"/>
        <w:numId w:val="34"/>
      </w:numPr>
      <w:tabs>
        <w:tab w:val="clear" w:pos="1701"/>
        <w:tab w:val="num" w:pos="360"/>
        <w:tab w:val="num" w:pos="2551"/>
      </w:tabs>
      <w:spacing w:before="0"/>
      <w:ind w:left="4320" w:hanging="360"/>
    </w:pPr>
  </w:style>
  <w:style w:type="paragraph" w:customStyle="1" w:styleId="TableDashEn5">
    <w:name w:val="Table: Dash: En 5"/>
    <w:basedOn w:val="TablePlainParagraph"/>
    <w:uiPriority w:val="12"/>
    <w:semiHidden/>
    <w:rsid w:val="00030303"/>
    <w:pPr>
      <w:numPr>
        <w:ilvl w:val="6"/>
        <w:numId w:val="34"/>
      </w:numPr>
      <w:tabs>
        <w:tab w:val="clear" w:pos="1984"/>
        <w:tab w:val="num" w:pos="360"/>
        <w:tab w:val="num" w:pos="2976"/>
      </w:tabs>
      <w:spacing w:before="0"/>
      <w:ind w:left="5040" w:hanging="360"/>
    </w:pPr>
  </w:style>
  <w:style w:type="paragraph" w:customStyle="1" w:styleId="TableDashEn6">
    <w:name w:val="Table: Dash: En 6"/>
    <w:basedOn w:val="TablePlainParagraph"/>
    <w:uiPriority w:val="12"/>
    <w:semiHidden/>
    <w:rsid w:val="00030303"/>
    <w:pPr>
      <w:numPr>
        <w:ilvl w:val="7"/>
        <w:numId w:val="34"/>
      </w:numPr>
      <w:tabs>
        <w:tab w:val="clear" w:pos="2268"/>
        <w:tab w:val="num" w:pos="360"/>
        <w:tab w:val="num" w:pos="3402"/>
      </w:tabs>
      <w:spacing w:before="0"/>
      <w:ind w:left="5760" w:hanging="360"/>
    </w:pPr>
  </w:style>
  <w:style w:type="paragraph" w:customStyle="1" w:styleId="TableDashEn7">
    <w:name w:val="Table: Dash: En 7"/>
    <w:basedOn w:val="TablePlainParagraph"/>
    <w:uiPriority w:val="12"/>
    <w:semiHidden/>
    <w:rsid w:val="00030303"/>
    <w:pPr>
      <w:numPr>
        <w:ilvl w:val="8"/>
        <w:numId w:val="34"/>
      </w:numPr>
      <w:tabs>
        <w:tab w:val="clear" w:pos="2551"/>
        <w:tab w:val="num" w:pos="360"/>
        <w:tab w:val="num" w:pos="3827"/>
      </w:tabs>
      <w:spacing w:before="0"/>
      <w:ind w:left="6480" w:hanging="360"/>
    </w:pPr>
  </w:style>
  <w:style w:type="paragraph" w:customStyle="1" w:styleId="TableIndentHanging">
    <w:name w:val="Table: Indent: Hanging"/>
    <w:basedOn w:val="TablePlainParagraph"/>
    <w:uiPriority w:val="12"/>
    <w:semiHidden/>
    <w:rsid w:val="00030303"/>
    <w:pPr>
      <w:numPr>
        <w:numId w:val="35"/>
      </w:numPr>
      <w:tabs>
        <w:tab w:val="clear" w:pos="567"/>
        <w:tab w:val="left" w:pos="283"/>
        <w:tab w:val="num" w:pos="360"/>
      </w:tabs>
      <w:spacing w:before="0"/>
      <w:ind w:left="720" w:hanging="360"/>
    </w:pPr>
  </w:style>
  <w:style w:type="paragraph" w:customStyle="1" w:styleId="TableIndentHanging1">
    <w:name w:val="Table: Indent: Hanging 1"/>
    <w:basedOn w:val="TablePlainParagraph"/>
    <w:uiPriority w:val="12"/>
    <w:rsid w:val="00030303"/>
    <w:pPr>
      <w:numPr>
        <w:ilvl w:val="1"/>
        <w:numId w:val="35"/>
      </w:numPr>
      <w:tabs>
        <w:tab w:val="clear" w:pos="567"/>
        <w:tab w:val="left" w:pos="283"/>
        <w:tab w:val="num" w:pos="360"/>
      </w:tabs>
      <w:spacing w:before="0"/>
      <w:ind w:left="1440" w:hanging="360"/>
    </w:pPr>
  </w:style>
  <w:style w:type="paragraph" w:customStyle="1" w:styleId="TableIndentHanging2">
    <w:name w:val="Table: Indent: Hanging 2"/>
    <w:basedOn w:val="TablePlainParagraph"/>
    <w:uiPriority w:val="12"/>
    <w:semiHidden/>
    <w:rsid w:val="00030303"/>
    <w:pPr>
      <w:numPr>
        <w:ilvl w:val="2"/>
        <w:numId w:val="35"/>
      </w:numPr>
      <w:tabs>
        <w:tab w:val="clear" w:pos="850"/>
        <w:tab w:val="num" w:pos="360"/>
        <w:tab w:val="num" w:pos="567"/>
      </w:tabs>
      <w:spacing w:before="0"/>
      <w:ind w:left="2160" w:hanging="360"/>
    </w:pPr>
  </w:style>
  <w:style w:type="paragraph" w:customStyle="1" w:styleId="TableIndentHanging3">
    <w:name w:val="Table: Indent: Hanging 3"/>
    <w:basedOn w:val="TablePlainParagraph"/>
    <w:uiPriority w:val="12"/>
    <w:semiHidden/>
    <w:rsid w:val="00030303"/>
    <w:pPr>
      <w:numPr>
        <w:ilvl w:val="3"/>
        <w:numId w:val="35"/>
      </w:numPr>
      <w:tabs>
        <w:tab w:val="clear" w:pos="1134"/>
        <w:tab w:val="num" w:pos="360"/>
        <w:tab w:val="num" w:pos="850"/>
      </w:tabs>
      <w:spacing w:before="0"/>
      <w:ind w:left="2880" w:hanging="360"/>
    </w:pPr>
  </w:style>
  <w:style w:type="paragraph" w:customStyle="1" w:styleId="TableIndentHanging4">
    <w:name w:val="Table: Indent: Hanging 4"/>
    <w:basedOn w:val="TablePlainParagraph"/>
    <w:uiPriority w:val="12"/>
    <w:semiHidden/>
    <w:rsid w:val="00030303"/>
    <w:pPr>
      <w:numPr>
        <w:ilvl w:val="4"/>
        <w:numId w:val="35"/>
      </w:numPr>
      <w:tabs>
        <w:tab w:val="clear" w:pos="1417"/>
        <w:tab w:val="num" w:pos="360"/>
        <w:tab w:val="left" w:pos="1134"/>
      </w:tabs>
      <w:spacing w:before="0"/>
      <w:ind w:left="3600" w:hanging="360"/>
    </w:pPr>
  </w:style>
  <w:style w:type="paragraph" w:customStyle="1" w:styleId="TableIndentHanging5">
    <w:name w:val="Table: Indent: Hanging 5"/>
    <w:basedOn w:val="TablePlainParagraph"/>
    <w:uiPriority w:val="12"/>
    <w:semiHidden/>
    <w:rsid w:val="00030303"/>
    <w:pPr>
      <w:numPr>
        <w:ilvl w:val="5"/>
        <w:numId w:val="35"/>
      </w:numPr>
      <w:tabs>
        <w:tab w:val="clear" w:pos="1701"/>
        <w:tab w:val="num" w:pos="360"/>
        <w:tab w:val="left" w:pos="1417"/>
      </w:tabs>
      <w:spacing w:before="0"/>
      <w:ind w:left="4320" w:hanging="360"/>
    </w:pPr>
  </w:style>
  <w:style w:type="paragraph" w:customStyle="1" w:styleId="TableIndentHanging6">
    <w:name w:val="Table: Indent: Hanging 6"/>
    <w:basedOn w:val="TablePlainParagraph"/>
    <w:uiPriority w:val="12"/>
    <w:semiHidden/>
    <w:rsid w:val="00030303"/>
    <w:pPr>
      <w:numPr>
        <w:ilvl w:val="6"/>
        <w:numId w:val="35"/>
      </w:numPr>
      <w:tabs>
        <w:tab w:val="clear" w:pos="1984"/>
        <w:tab w:val="num" w:pos="360"/>
        <w:tab w:val="left" w:pos="1701"/>
      </w:tabs>
      <w:spacing w:before="0"/>
      <w:ind w:left="5040" w:hanging="360"/>
    </w:pPr>
  </w:style>
  <w:style w:type="paragraph" w:customStyle="1" w:styleId="TableIndentHanging7">
    <w:name w:val="Table: Indent: Hanging 7"/>
    <w:basedOn w:val="TablePlainParagraph"/>
    <w:uiPriority w:val="12"/>
    <w:semiHidden/>
    <w:rsid w:val="00030303"/>
    <w:pPr>
      <w:numPr>
        <w:ilvl w:val="7"/>
        <w:numId w:val="35"/>
      </w:numPr>
      <w:tabs>
        <w:tab w:val="clear" w:pos="2268"/>
        <w:tab w:val="num" w:pos="360"/>
        <w:tab w:val="left" w:pos="1984"/>
      </w:tabs>
      <w:spacing w:before="0"/>
      <w:ind w:left="5760" w:hanging="360"/>
    </w:pPr>
  </w:style>
  <w:style w:type="paragraph" w:customStyle="1" w:styleId="TableIndentHanging8">
    <w:name w:val="Table: Indent: Hanging 8"/>
    <w:basedOn w:val="TablePlainParagraph"/>
    <w:uiPriority w:val="12"/>
    <w:semiHidden/>
    <w:rsid w:val="00030303"/>
    <w:pPr>
      <w:numPr>
        <w:ilvl w:val="8"/>
        <w:numId w:val="35"/>
      </w:numPr>
      <w:tabs>
        <w:tab w:val="clear" w:pos="2551"/>
        <w:tab w:val="num" w:pos="360"/>
        <w:tab w:val="left" w:pos="2268"/>
      </w:tabs>
      <w:spacing w:before="0"/>
      <w:ind w:left="6480" w:hanging="360"/>
    </w:pPr>
  </w:style>
  <w:style w:type="paragraph" w:customStyle="1" w:styleId="TableNumberedList1">
    <w:name w:val="Table: Numbered List: 1)"/>
    <w:basedOn w:val="TablePlainParagraph"/>
    <w:uiPriority w:val="12"/>
    <w:semiHidden/>
    <w:rsid w:val="00030303"/>
    <w:pPr>
      <w:numPr>
        <w:numId w:val="36"/>
      </w:numPr>
      <w:tabs>
        <w:tab w:val="clear" w:pos="283"/>
        <w:tab w:val="num" w:pos="360"/>
        <w:tab w:val="num" w:pos="709"/>
      </w:tabs>
      <w:spacing w:before="0"/>
      <w:ind w:left="0" w:hanging="709"/>
    </w:pPr>
  </w:style>
  <w:style w:type="paragraph" w:customStyle="1" w:styleId="TableNumberedList11">
    <w:name w:val="Table: Numbered List: 1) 1"/>
    <w:basedOn w:val="TablePlainParagraph"/>
    <w:uiPriority w:val="12"/>
    <w:rsid w:val="00030303"/>
    <w:pPr>
      <w:numPr>
        <w:ilvl w:val="1"/>
        <w:numId w:val="36"/>
      </w:numPr>
      <w:tabs>
        <w:tab w:val="clear" w:pos="283"/>
        <w:tab w:val="num" w:pos="360"/>
        <w:tab w:val="num" w:pos="709"/>
      </w:tabs>
      <w:spacing w:before="0"/>
      <w:ind w:left="0" w:hanging="709"/>
    </w:pPr>
  </w:style>
  <w:style w:type="paragraph" w:customStyle="1" w:styleId="TableNumberedList12">
    <w:name w:val="Table: Numbered List: 1) 2"/>
    <w:basedOn w:val="TablePlainParagraph"/>
    <w:uiPriority w:val="12"/>
    <w:semiHidden/>
    <w:rsid w:val="00030303"/>
    <w:pPr>
      <w:numPr>
        <w:ilvl w:val="2"/>
        <w:numId w:val="36"/>
      </w:numPr>
      <w:tabs>
        <w:tab w:val="clear" w:pos="567"/>
        <w:tab w:val="num" w:pos="360"/>
        <w:tab w:val="num" w:pos="709"/>
      </w:tabs>
      <w:spacing w:before="0"/>
      <w:ind w:left="0" w:hanging="709"/>
    </w:pPr>
  </w:style>
  <w:style w:type="paragraph" w:customStyle="1" w:styleId="TableNumberedList13">
    <w:name w:val="Table: Numbered List: 1) 3"/>
    <w:basedOn w:val="TablePlainParagraph"/>
    <w:uiPriority w:val="12"/>
    <w:semiHidden/>
    <w:rsid w:val="00030303"/>
    <w:pPr>
      <w:numPr>
        <w:ilvl w:val="3"/>
        <w:numId w:val="36"/>
      </w:numPr>
      <w:tabs>
        <w:tab w:val="clear" w:pos="850"/>
        <w:tab w:val="num" w:pos="360"/>
        <w:tab w:val="num" w:pos="709"/>
        <w:tab w:val="num" w:pos="1134"/>
      </w:tabs>
      <w:spacing w:before="0"/>
      <w:ind w:left="425" w:hanging="425"/>
    </w:pPr>
  </w:style>
  <w:style w:type="paragraph" w:customStyle="1" w:styleId="TableNumberedList14">
    <w:name w:val="Table: Numbered List: 1) 4"/>
    <w:basedOn w:val="TablePlainParagraph"/>
    <w:uiPriority w:val="12"/>
    <w:semiHidden/>
    <w:rsid w:val="00030303"/>
    <w:pPr>
      <w:numPr>
        <w:ilvl w:val="4"/>
        <w:numId w:val="36"/>
      </w:numPr>
      <w:tabs>
        <w:tab w:val="clear" w:pos="1134"/>
        <w:tab w:val="num" w:pos="360"/>
        <w:tab w:val="num" w:pos="709"/>
        <w:tab w:val="num" w:pos="1417"/>
      </w:tabs>
      <w:spacing w:before="0"/>
      <w:ind w:left="425" w:hanging="425"/>
    </w:pPr>
  </w:style>
  <w:style w:type="paragraph" w:customStyle="1" w:styleId="TableNumberedList15">
    <w:name w:val="Table: Numbered List: 1) 5"/>
    <w:basedOn w:val="TablePlainParagraph"/>
    <w:uiPriority w:val="12"/>
    <w:semiHidden/>
    <w:rsid w:val="00030303"/>
    <w:pPr>
      <w:numPr>
        <w:ilvl w:val="5"/>
        <w:numId w:val="36"/>
      </w:numPr>
      <w:tabs>
        <w:tab w:val="clear" w:pos="1417"/>
        <w:tab w:val="num" w:pos="360"/>
        <w:tab w:val="num" w:pos="1418"/>
        <w:tab w:val="num" w:pos="1701"/>
      </w:tabs>
      <w:spacing w:before="0"/>
      <w:ind w:left="851" w:hanging="426"/>
    </w:pPr>
  </w:style>
  <w:style w:type="paragraph" w:customStyle="1" w:styleId="TableNumberedList16">
    <w:name w:val="Table: Numbered List: 1) 6"/>
    <w:basedOn w:val="TablePlainParagraph"/>
    <w:uiPriority w:val="12"/>
    <w:semiHidden/>
    <w:rsid w:val="00030303"/>
    <w:pPr>
      <w:numPr>
        <w:ilvl w:val="6"/>
        <w:numId w:val="36"/>
      </w:numPr>
      <w:tabs>
        <w:tab w:val="clear" w:pos="1701"/>
        <w:tab w:val="num" w:pos="360"/>
        <w:tab w:val="num" w:pos="1843"/>
        <w:tab w:val="num" w:pos="1984"/>
      </w:tabs>
      <w:spacing w:before="0"/>
      <w:ind w:left="1276" w:hanging="425"/>
    </w:pPr>
  </w:style>
  <w:style w:type="paragraph" w:customStyle="1" w:styleId="TableNumberedList17">
    <w:name w:val="Table: Numbered List: 1) 7"/>
    <w:basedOn w:val="TablePlainParagraph"/>
    <w:uiPriority w:val="12"/>
    <w:semiHidden/>
    <w:rsid w:val="00030303"/>
    <w:pPr>
      <w:numPr>
        <w:ilvl w:val="7"/>
        <w:numId w:val="36"/>
      </w:numPr>
      <w:tabs>
        <w:tab w:val="clear" w:pos="1984"/>
        <w:tab w:val="num" w:pos="360"/>
        <w:tab w:val="num" w:pos="2268"/>
        <w:tab w:val="num" w:pos="2410"/>
      </w:tabs>
      <w:spacing w:before="0"/>
      <w:ind w:left="1701" w:hanging="425"/>
    </w:pPr>
  </w:style>
  <w:style w:type="paragraph" w:customStyle="1" w:styleId="TableNumberedList18">
    <w:name w:val="Table: Numbered List: 1) 8"/>
    <w:basedOn w:val="TablePlainParagraph"/>
    <w:uiPriority w:val="12"/>
    <w:semiHidden/>
    <w:rsid w:val="00030303"/>
    <w:pPr>
      <w:numPr>
        <w:ilvl w:val="8"/>
        <w:numId w:val="36"/>
      </w:numPr>
      <w:tabs>
        <w:tab w:val="clear" w:pos="2268"/>
        <w:tab w:val="num" w:pos="360"/>
        <w:tab w:val="num" w:pos="2551"/>
        <w:tab w:val="num" w:pos="2835"/>
      </w:tabs>
      <w:spacing w:before="0"/>
      <w:ind w:left="2126" w:hanging="425"/>
    </w:pPr>
  </w:style>
  <w:style w:type="paragraph" w:customStyle="1" w:styleId="TableNumberedLista">
    <w:name w:val="Table: Numbered List: a)"/>
    <w:basedOn w:val="TablePlainParagraph"/>
    <w:uiPriority w:val="12"/>
    <w:semiHidden/>
    <w:rsid w:val="00030303"/>
    <w:pPr>
      <w:numPr>
        <w:numId w:val="37"/>
      </w:numPr>
      <w:tabs>
        <w:tab w:val="clear" w:pos="283"/>
        <w:tab w:val="num" w:pos="360"/>
        <w:tab w:val="num" w:pos="567"/>
      </w:tabs>
      <w:spacing w:before="0"/>
      <w:ind w:left="720" w:hanging="360"/>
    </w:pPr>
  </w:style>
  <w:style w:type="paragraph" w:customStyle="1" w:styleId="TableNumberedLista1">
    <w:name w:val="Table: Numbered List: a) 1"/>
    <w:basedOn w:val="TablePlainParagraph"/>
    <w:uiPriority w:val="12"/>
    <w:rsid w:val="00030303"/>
    <w:pPr>
      <w:numPr>
        <w:ilvl w:val="1"/>
        <w:numId w:val="37"/>
      </w:numPr>
      <w:tabs>
        <w:tab w:val="clear" w:pos="283"/>
        <w:tab w:val="num" w:pos="360"/>
        <w:tab w:val="num" w:pos="567"/>
      </w:tabs>
      <w:spacing w:before="0"/>
      <w:ind w:left="1440" w:hanging="360"/>
    </w:pPr>
  </w:style>
  <w:style w:type="paragraph" w:customStyle="1" w:styleId="TableNumberedLista2">
    <w:name w:val="Table: Numbered List: a) 2"/>
    <w:basedOn w:val="TablePlainParagraph"/>
    <w:uiPriority w:val="12"/>
    <w:semiHidden/>
    <w:rsid w:val="00030303"/>
    <w:pPr>
      <w:numPr>
        <w:ilvl w:val="2"/>
        <w:numId w:val="37"/>
      </w:numPr>
      <w:tabs>
        <w:tab w:val="clear" w:pos="567"/>
        <w:tab w:val="num" w:pos="360"/>
        <w:tab w:val="num" w:pos="850"/>
      </w:tabs>
      <w:spacing w:before="0"/>
      <w:ind w:left="2160" w:hanging="360"/>
    </w:pPr>
  </w:style>
  <w:style w:type="paragraph" w:customStyle="1" w:styleId="TableNumberedLista3">
    <w:name w:val="Table: Numbered List: a) 3"/>
    <w:basedOn w:val="TablePlainParagraph"/>
    <w:uiPriority w:val="12"/>
    <w:semiHidden/>
    <w:rsid w:val="00030303"/>
    <w:pPr>
      <w:numPr>
        <w:ilvl w:val="3"/>
        <w:numId w:val="37"/>
      </w:numPr>
      <w:tabs>
        <w:tab w:val="clear" w:pos="850"/>
        <w:tab w:val="num" w:pos="360"/>
        <w:tab w:val="num" w:pos="1134"/>
      </w:tabs>
      <w:spacing w:before="0"/>
      <w:ind w:left="2880" w:hanging="360"/>
    </w:pPr>
  </w:style>
  <w:style w:type="paragraph" w:customStyle="1" w:styleId="TableNumberedLista4">
    <w:name w:val="Table: Numbered List: a) 4"/>
    <w:basedOn w:val="TablePlainParagraph"/>
    <w:uiPriority w:val="12"/>
    <w:semiHidden/>
    <w:rsid w:val="00030303"/>
    <w:pPr>
      <w:numPr>
        <w:ilvl w:val="4"/>
        <w:numId w:val="37"/>
      </w:numPr>
      <w:tabs>
        <w:tab w:val="clear" w:pos="1134"/>
        <w:tab w:val="num" w:pos="360"/>
        <w:tab w:val="num" w:pos="1417"/>
      </w:tabs>
      <w:spacing w:before="0"/>
      <w:ind w:left="3600" w:hanging="360"/>
    </w:pPr>
  </w:style>
  <w:style w:type="paragraph" w:customStyle="1" w:styleId="TableNumberedLista5">
    <w:name w:val="Table: Numbered List: a) 5"/>
    <w:basedOn w:val="TablePlainParagraph"/>
    <w:uiPriority w:val="12"/>
    <w:semiHidden/>
    <w:rsid w:val="00030303"/>
    <w:pPr>
      <w:numPr>
        <w:ilvl w:val="5"/>
        <w:numId w:val="37"/>
      </w:numPr>
      <w:tabs>
        <w:tab w:val="clear" w:pos="1417"/>
        <w:tab w:val="num" w:pos="360"/>
        <w:tab w:val="num" w:pos="1701"/>
      </w:tabs>
      <w:spacing w:before="0"/>
      <w:ind w:left="4320" w:hanging="360"/>
    </w:pPr>
  </w:style>
  <w:style w:type="paragraph" w:customStyle="1" w:styleId="TableNumberedLista6">
    <w:name w:val="Table: Numbered List: a) 6"/>
    <w:basedOn w:val="TablePlainParagraph"/>
    <w:uiPriority w:val="12"/>
    <w:semiHidden/>
    <w:rsid w:val="00030303"/>
    <w:pPr>
      <w:numPr>
        <w:ilvl w:val="6"/>
        <w:numId w:val="37"/>
      </w:numPr>
      <w:tabs>
        <w:tab w:val="clear" w:pos="1701"/>
        <w:tab w:val="num" w:pos="360"/>
        <w:tab w:val="num" w:pos="1984"/>
      </w:tabs>
      <w:spacing w:before="0"/>
      <w:ind w:left="5040" w:hanging="360"/>
    </w:pPr>
  </w:style>
  <w:style w:type="paragraph" w:customStyle="1" w:styleId="TableNumberedLista7">
    <w:name w:val="Table: Numbered List: a) 7"/>
    <w:basedOn w:val="TablePlainParagraph"/>
    <w:uiPriority w:val="12"/>
    <w:semiHidden/>
    <w:rsid w:val="00030303"/>
    <w:pPr>
      <w:numPr>
        <w:ilvl w:val="7"/>
        <w:numId w:val="37"/>
      </w:numPr>
      <w:tabs>
        <w:tab w:val="clear" w:pos="1984"/>
        <w:tab w:val="num" w:pos="360"/>
        <w:tab w:val="num" w:pos="2268"/>
      </w:tabs>
      <w:spacing w:before="0"/>
      <w:ind w:left="5760" w:hanging="360"/>
    </w:pPr>
  </w:style>
  <w:style w:type="paragraph" w:customStyle="1" w:styleId="TableNumberedLista8">
    <w:name w:val="Table: Numbered List: a) 8"/>
    <w:basedOn w:val="TablePlainParagraph"/>
    <w:uiPriority w:val="12"/>
    <w:semiHidden/>
    <w:rsid w:val="00030303"/>
    <w:pPr>
      <w:numPr>
        <w:ilvl w:val="8"/>
        <w:numId w:val="37"/>
      </w:numPr>
      <w:tabs>
        <w:tab w:val="clear" w:pos="2268"/>
        <w:tab w:val="num" w:pos="360"/>
        <w:tab w:val="num" w:pos="2551"/>
      </w:tabs>
      <w:spacing w:before="0"/>
      <w:ind w:left="6480" w:hanging="360"/>
    </w:pPr>
  </w:style>
  <w:style w:type="paragraph" w:customStyle="1" w:styleId="Subrand">
    <w:name w:val="Subrand"/>
    <w:semiHidden/>
    <w:rsid w:val="00030303"/>
    <w:pPr>
      <w:spacing w:after="0" w:line="200" w:lineRule="atLeast"/>
      <w:jc w:val="right"/>
    </w:pPr>
    <w:rPr>
      <w:rFonts w:ascii="Arial" w:eastAsia="Times New Roman" w:hAnsi="Arial" w:cs="Arial"/>
      <w:b/>
      <w:i/>
      <w:sz w:val="20"/>
      <w:lang w:eastAsia="en-AU"/>
    </w:rPr>
  </w:style>
  <w:style w:type="paragraph" w:customStyle="1" w:styleId="Subbrand">
    <w:name w:val="Subbrand"/>
    <w:semiHidden/>
    <w:rsid w:val="00030303"/>
    <w:pPr>
      <w:spacing w:after="0" w:line="200" w:lineRule="atLeast"/>
      <w:jc w:val="right"/>
    </w:pPr>
    <w:rPr>
      <w:rFonts w:ascii="Arial" w:eastAsia="Times New Roman" w:hAnsi="Arial" w:cs="Arial"/>
      <w:b/>
      <w:i/>
      <w:sz w:val="20"/>
      <w:szCs w:val="24"/>
      <w:lang w:eastAsia="en-AU"/>
    </w:rPr>
  </w:style>
  <w:style w:type="paragraph" w:styleId="TOC5">
    <w:name w:val="toc 5"/>
    <w:basedOn w:val="TOC4"/>
    <w:next w:val="Normal"/>
    <w:autoRedefine/>
    <w:uiPriority w:val="35"/>
    <w:semiHidden/>
    <w:rsid w:val="00030303"/>
    <w:pPr>
      <w:keepNext/>
      <w:widowControl w:val="0"/>
      <w:tabs>
        <w:tab w:val="right" w:pos="8222"/>
        <w:tab w:val="right" w:pos="9016"/>
      </w:tabs>
      <w:spacing w:before="60" w:after="0" w:line="280" w:lineRule="atLeast"/>
      <w:ind w:left="1105" w:hanging="425"/>
    </w:pPr>
    <w:rPr>
      <w:rFonts w:ascii="Arial" w:eastAsia="Times New Roman" w:hAnsi="Arial" w:cs="Arial"/>
      <w:noProof/>
      <w:w w:val="100"/>
      <w:kern w:val="0"/>
      <w:sz w:val="20"/>
      <w:lang w:eastAsia="en-AU"/>
    </w:rPr>
  </w:style>
  <w:style w:type="numbering" w:styleId="111111">
    <w:name w:val="Outline List 2"/>
    <w:basedOn w:val="NoList"/>
    <w:uiPriority w:val="99"/>
    <w:semiHidden/>
    <w:unhideWhenUsed/>
    <w:rsid w:val="00030303"/>
    <w:pPr>
      <w:numPr>
        <w:numId w:val="47"/>
      </w:numPr>
    </w:pPr>
  </w:style>
  <w:style w:type="numbering" w:styleId="1ai">
    <w:name w:val="Outline List 1"/>
    <w:basedOn w:val="NoList"/>
    <w:uiPriority w:val="99"/>
    <w:semiHidden/>
    <w:unhideWhenUsed/>
    <w:rsid w:val="00030303"/>
    <w:pPr>
      <w:numPr>
        <w:numId w:val="48"/>
      </w:numPr>
    </w:pPr>
  </w:style>
  <w:style w:type="character" w:customStyle="1" w:styleId="Heading4Char1">
    <w:name w:val="Heading 4 Char1"/>
    <w:basedOn w:val="DefaultParagraphFont"/>
    <w:uiPriority w:val="9"/>
    <w:rsid w:val="00030303"/>
    <w:rPr>
      <w:rFonts w:asciiTheme="majorHAnsi" w:eastAsiaTheme="majorEastAsia" w:hAnsiTheme="majorHAnsi" w:cstheme="majorBidi"/>
      <w:i/>
      <w:iCs/>
      <w:color w:val="2F5496" w:themeColor="accent1" w:themeShade="BF"/>
      <w:w w:val="105"/>
      <w:kern w:val="40"/>
    </w:rPr>
  </w:style>
  <w:style w:type="character" w:customStyle="1" w:styleId="Heading7Char1">
    <w:name w:val="Heading 7 Char1"/>
    <w:basedOn w:val="DefaultParagraphFont"/>
    <w:uiPriority w:val="9"/>
    <w:semiHidden/>
    <w:rsid w:val="00030303"/>
    <w:rPr>
      <w:rFonts w:asciiTheme="majorHAnsi" w:eastAsiaTheme="majorEastAsia" w:hAnsiTheme="majorHAnsi" w:cstheme="majorBidi"/>
      <w:i/>
      <w:iCs/>
      <w:color w:val="1F3763" w:themeColor="accent1" w:themeShade="7F"/>
      <w:w w:val="105"/>
      <w:kern w:val="40"/>
    </w:rPr>
  </w:style>
  <w:style w:type="character" w:customStyle="1" w:styleId="Heading8Char1">
    <w:name w:val="Heading 8 Char1"/>
    <w:basedOn w:val="DefaultParagraphFont"/>
    <w:link w:val="Heading8"/>
    <w:uiPriority w:val="9"/>
    <w:semiHidden/>
    <w:rsid w:val="00030303"/>
    <w:rPr>
      <w:rFonts w:asciiTheme="majorHAnsi" w:eastAsiaTheme="majorEastAsia" w:hAnsiTheme="majorHAnsi" w:cstheme="majorBidi"/>
      <w:color w:val="272727" w:themeColor="text1" w:themeTint="D8"/>
      <w:w w:val="105"/>
      <w:kern w:val="40"/>
      <w:sz w:val="21"/>
      <w:szCs w:val="21"/>
    </w:rPr>
  </w:style>
  <w:style w:type="character" w:customStyle="1" w:styleId="Heading9Char1">
    <w:name w:val="Heading 9 Char1"/>
    <w:basedOn w:val="DefaultParagraphFont"/>
    <w:link w:val="Heading9"/>
    <w:uiPriority w:val="9"/>
    <w:semiHidden/>
    <w:rsid w:val="00030303"/>
    <w:rPr>
      <w:rFonts w:asciiTheme="majorHAnsi" w:eastAsiaTheme="majorEastAsia" w:hAnsiTheme="majorHAnsi" w:cstheme="majorBidi"/>
      <w:i/>
      <w:iCs/>
      <w:color w:val="272727" w:themeColor="text1" w:themeTint="D8"/>
      <w:w w:val="105"/>
      <w:kern w:val="40"/>
      <w:sz w:val="21"/>
      <w:szCs w:val="21"/>
    </w:rPr>
  </w:style>
  <w:style w:type="numbering" w:styleId="ArticleSection">
    <w:name w:val="Outline List 3"/>
    <w:basedOn w:val="NoList"/>
    <w:uiPriority w:val="99"/>
    <w:semiHidden/>
    <w:unhideWhenUsed/>
    <w:rsid w:val="00030303"/>
    <w:pPr>
      <w:numPr>
        <w:numId w:val="49"/>
      </w:numPr>
    </w:pPr>
  </w:style>
  <w:style w:type="paragraph" w:styleId="Bibliography">
    <w:name w:val="Bibliography"/>
    <w:basedOn w:val="Normal"/>
    <w:next w:val="Normal"/>
    <w:uiPriority w:val="37"/>
    <w:semiHidden/>
    <w:unhideWhenUsed/>
    <w:rsid w:val="00030303"/>
    <w:pPr>
      <w:spacing w:after="0" w:line="240" w:lineRule="auto"/>
    </w:pPr>
    <w:rPr>
      <w:rFonts w:ascii="Arial" w:eastAsia="Times New Roman" w:hAnsi="Arial" w:cs="Arial"/>
      <w:w w:val="100"/>
      <w:kern w:val="0"/>
      <w:lang w:eastAsia="en-AU"/>
    </w:rPr>
  </w:style>
  <w:style w:type="paragraph" w:styleId="BlockText">
    <w:name w:val="Block Text"/>
    <w:basedOn w:val="Normal"/>
    <w:uiPriority w:val="99"/>
    <w:semiHidden/>
    <w:unhideWhenUsed/>
    <w:rsid w:val="00030303"/>
    <w:pPr>
      <w:spacing w:after="120" w:line="240" w:lineRule="auto"/>
      <w:ind w:left="1440" w:right="1440"/>
    </w:pPr>
    <w:rPr>
      <w:rFonts w:ascii="Arial" w:eastAsia="Times New Roman" w:hAnsi="Arial" w:cs="Arial"/>
      <w:w w:val="100"/>
      <w:kern w:val="0"/>
      <w:lang w:eastAsia="en-AU"/>
    </w:rPr>
  </w:style>
  <w:style w:type="paragraph" w:styleId="BodyText">
    <w:name w:val="Body Text"/>
    <w:basedOn w:val="Normal"/>
    <w:link w:val="BodyTextChar"/>
    <w:uiPriority w:val="99"/>
    <w:semiHidden/>
    <w:unhideWhenUsed/>
    <w:rsid w:val="00030303"/>
    <w:pPr>
      <w:spacing w:after="120" w:line="240" w:lineRule="auto"/>
    </w:pPr>
    <w:rPr>
      <w:rFonts w:ascii="Arial" w:eastAsia="Times New Roman" w:hAnsi="Arial" w:cs="Arial"/>
      <w:w w:val="100"/>
      <w:kern w:val="0"/>
      <w:lang w:eastAsia="en-AU"/>
    </w:rPr>
  </w:style>
  <w:style w:type="character" w:customStyle="1" w:styleId="BodyTextChar">
    <w:name w:val="Body Text Char"/>
    <w:basedOn w:val="DefaultParagraphFont"/>
    <w:link w:val="BodyText"/>
    <w:uiPriority w:val="99"/>
    <w:semiHidden/>
    <w:rsid w:val="00030303"/>
    <w:rPr>
      <w:rFonts w:ascii="Arial" w:eastAsia="Times New Roman" w:hAnsi="Arial" w:cs="Arial"/>
      <w:lang w:eastAsia="en-AU"/>
    </w:rPr>
  </w:style>
  <w:style w:type="paragraph" w:styleId="BodyText2">
    <w:name w:val="Body Text 2"/>
    <w:basedOn w:val="Normal"/>
    <w:link w:val="BodyText2Char"/>
    <w:uiPriority w:val="99"/>
    <w:semiHidden/>
    <w:unhideWhenUsed/>
    <w:rsid w:val="00030303"/>
    <w:pPr>
      <w:spacing w:after="120" w:line="480" w:lineRule="auto"/>
    </w:pPr>
    <w:rPr>
      <w:rFonts w:ascii="Arial" w:eastAsia="Times New Roman" w:hAnsi="Arial" w:cs="Arial"/>
      <w:w w:val="100"/>
      <w:kern w:val="0"/>
      <w:lang w:eastAsia="en-AU"/>
    </w:rPr>
  </w:style>
  <w:style w:type="character" w:customStyle="1" w:styleId="BodyText2Char">
    <w:name w:val="Body Text 2 Char"/>
    <w:basedOn w:val="DefaultParagraphFont"/>
    <w:link w:val="BodyText2"/>
    <w:uiPriority w:val="99"/>
    <w:semiHidden/>
    <w:rsid w:val="00030303"/>
    <w:rPr>
      <w:rFonts w:ascii="Arial" w:eastAsia="Times New Roman" w:hAnsi="Arial" w:cs="Arial"/>
      <w:lang w:eastAsia="en-AU"/>
    </w:rPr>
  </w:style>
  <w:style w:type="paragraph" w:styleId="BodyText3">
    <w:name w:val="Body Text 3"/>
    <w:basedOn w:val="Normal"/>
    <w:link w:val="BodyText3Char"/>
    <w:uiPriority w:val="99"/>
    <w:semiHidden/>
    <w:unhideWhenUsed/>
    <w:rsid w:val="00030303"/>
    <w:pPr>
      <w:spacing w:after="120" w:line="240" w:lineRule="auto"/>
    </w:pPr>
    <w:rPr>
      <w:rFonts w:ascii="Arial" w:eastAsia="Times New Roman" w:hAnsi="Arial" w:cs="Arial"/>
      <w:w w:val="100"/>
      <w:kern w:val="0"/>
      <w:sz w:val="16"/>
      <w:szCs w:val="16"/>
      <w:lang w:eastAsia="en-AU"/>
    </w:rPr>
  </w:style>
  <w:style w:type="character" w:customStyle="1" w:styleId="BodyText3Char">
    <w:name w:val="Body Text 3 Char"/>
    <w:basedOn w:val="DefaultParagraphFont"/>
    <w:link w:val="BodyText3"/>
    <w:uiPriority w:val="99"/>
    <w:semiHidden/>
    <w:rsid w:val="00030303"/>
    <w:rPr>
      <w:rFonts w:ascii="Arial" w:eastAsia="Times New Roman" w:hAnsi="Arial" w:cs="Arial"/>
      <w:sz w:val="16"/>
      <w:szCs w:val="16"/>
      <w:lang w:eastAsia="en-AU"/>
    </w:rPr>
  </w:style>
  <w:style w:type="paragraph" w:styleId="BodyTextFirstIndent">
    <w:name w:val="Body Text First Indent"/>
    <w:basedOn w:val="BodyText"/>
    <w:link w:val="BodyTextFirstIndentChar"/>
    <w:uiPriority w:val="99"/>
    <w:semiHidden/>
    <w:unhideWhenUsed/>
    <w:rsid w:val="00030303"/>
    <w:pPr>
      <w:ind w:firstLine="210"/>
    </w:pPr>
  </w:style>
  <w:style w:type="character" w:customStyle="1" w:styleId="BodyTextFirstIndentChar">
    <w:name w:val="Body Text First Indent Char"/>
    <w:basedOn w:val="BodyTextChar"/>
    <w:link w:val="BodyTextFirstIndent"/>
    <w:uiPriority w:val="99"/>
    <w:semiHidden/>
    <w:rsid w:val="00030303"/>
    <w:rPr>
      <w:rFonts w:ascii="Arial" w:eastAsia="Times New Roman" w:hAnsi="Arial" w:cs="Arial"/>
      <w:lang w:eastAsia="en-AU"/>
    </w:rPr>
  </w:style>
  <w:style w:type="paragraph" w:styleId="BodyTextIndent">
    <w:name w:val="Body Text Indent"/>
    <w:basedOn w:val="Normal"/>
    <w:link w:val="BodyTextIndentChar"/>
    <w:uiPriority w:val="99"/>
    <w:semiHidden/>
    <w:unhideWhenUsed/>
    <w:rsid w:val="00030303"/>
    <w:pPr>
      <w:spacing w:after="120" w:line="240" w:lineRule="auto"/>
      <w:ind w:left="283"/>
    </w:pPr>
    <w:rPr>
      <w:rFonts w:ascii="Arial" w:eastAsia="Times New Roman" w:hAnsi="Arial" w:cs="Arial"/>
      <w:w w:val="100"/>
      <w:kern w:val="0"/>
      <w:lang w:eastAsia="en-AU"/>
    </w:rPr>
  </w:style>
  <w:style w:type="character" w:customStyle="1" w:styleId="BodyTextIndentChar">
    <w:name w:val="Body Text Indent Char"/>
    <w:basedOn w:val="DefaultParagraphFont"/>
    <w:link w:val="BodyTextIndent"/>
    <w:uiPriority w:val="99"/>
    <w:semiHidden/>
    <w:rsid w:val="00030303"/>
    <w:rPr>
      <w:rFonts w:ascii="Arial" w:eastAsia="Times New Roman" w:hAnsi="Arial" w:cs="Arial"/>
      <w:lang w:eastAsia="en-AU"/>
    </w:rPr>
  </w:style>
  <w:style w:type="paragraph" w:styleId="BodyTextFirstIndent2">
    <w:name w:val="Body Text First Indent 2"/>
    <w:basedOn w:val="BodyTextIndent"/>
    <w:link w:val="BodyTextFirstIndent2Char"/>
    <w:uiPriority w:val="99"/>
    <w:semiHidden/>
    <w:unhideWhenUsed/>
    <w:rsid w:val="00030303"/>
    <w:pPr>
      <w:ind w:firstLine="210"/>
    </w:pPr>
  </w:style>
  <w:style w:type="character" w:customStyle="1" w:styleId="BodyTextFirstIndent2Char">
    <w:name w:val="Body Text First Indent 2 Char"/>
    <w:basedOn w:val="BodyTextIndentChar"/>
    <w:link w:val="BodyTextFirstIndent2"/>
    <w:uiPriority w:val="99"/>
    <w:semiHidden/>
    <w:rsid w:val="00030303"/>
    <w:rPr>
      <w:rFonts w:ascii="Arial" w:eastAsia="Times New Roman" w:hAnsi="Arial" w:cs="Arial"/>
      <w:lang w:eastAsia="en-AU"/>
    </w:rPr>
  </w:style>
  <w:style w:type="paragraph" w:styleId="BodyTextIndent2">
    <w:name w:val="Body Text Indent 2"/>
    <w:basedOn w:val="Normal"/>
    <w:link w:val="BodyTextIndent2Char"/>
    <w:uiPriority w:val="99"/>
    <w:semiHidden/>
    <w:unhideWhenUsed/>
    <w:rsid w:val="00030303"/>
    <w:pPr>
      <w:spacing w:after="120" w:line="480" w:lineRule="auto"/>
      <w:ind w:left="283"/>
    </w:pPr>
    <w:rPr>
      <w:rFonts w:ascii="Arial" w:eastAsia="Times New Roman" w:hAnsi="Arial" w:cs="Arial"/>
      <w:w w:val="100"/>
      <w:kern w:val="0"/>
      <w:lang w:eastAsia="en-AU"/>
    </w:rPr>
  </w:style>
  <w:style w:type="character" w:customStyle="1" w:styleId="BodyTextIndent2Char">
    <w:name w:val="Body Text Indent 2 Char"/>
    <w:basedOn w:val="DefaultParagraphFont"/>
    <w:link w:val="BodyTextIndent2"/>
    <w:uiPriority w:val="99"/>
    <w:semiHidden/>
    <w:rsid w:val="00030303"/>
    <w:rPr>
      <w:rFonts w:ascii="Arial" w:eastAsia="Times New Roman" w:hAnsi="Arial" w:cs="Arial"/>
      <w:lang w:eastAsia="en-AU"/>
    </w:rPr>
  </w:style>
  <w:style w:type="paragraph" w:styleId="BodyTextIndent3">
    <w:name w:val="Body Text Indent 3"/>
    <w:basedOn w:val="Normal"/>
    <w:link w:val="BodyTextIndent3Char"/>
    <w:uiPriority w:val="99"/>
    <w:semiHidden/>
    <w:unhideWhenUsed/>
    <w:rsid w:val="00030303"/>
    <w:pPr>
      <w:spacing w:after="120" w:line="240" w:lineRule="auto"/>
      <w:ind w:left="283"/>
    </w:pPr>
    <w:rPr>
      <w:rFonts w:ascii="Arial" w:eastAsia="Times New Roman" w:hAnsi="Arial" w:cs="Arial"/>
      <w:w w:val="100"/>
      <w:kern w:val="0"/>
      <w:sz w:val="16"/>
      <w:szCs w:val="16"/>
      <w:lang w:eastAsia="en-AU"/>
    </w:rPr>
  </w:style>
  <w:style w:type="character" w:customStyle="1" w:styleId="BodyTextIndent3Char">
    <w:name w:val="Body Text Indent 3 Char"/>
    <w:basedOn w:val="DefaultParagraphFont"/>
    <w:link w:val="BodyTextIndent3"/>
    <w:uiPriority w:val="99"/>
    <w:semiHidden/>
    <w:rsid w:val="00030303"/>
    <w:rPr>
      <w:rFonts w:ascii="Arial" w:eastAsia="Times New Roman" w:hAnsi="Arial" w:cs="Arial"/>
      <w:sz w:val="16"/>
      <w:szCs w:val="16"/>
      <w:lang w:eastAsia="en-AU"/>
    </w:rPr>
  </w:style>
  <w:style w:type="character" w:styleId="BookTitle">
    <w:name w:val="Book Title"/>
    <w:basedOn w:val="DefaultParagraphFont"/>
    <w:uiPriority w:val="98"/>
    <w:rsid w:val="00030303"/>
    <w:rPr>
      <w:b/>
      <w:bCs/>
      <w:smallCaps/>
      <w:spacing w:val="5"/>
    </w:rPr>
  </w:style>
  <w:style w:type="paragraph" w:styleId="Caption">
    <w:name w:val="caption"/>
    <w:basedOn w:val="Normal"/>
    <w:next w:val="Normal"/>
    <w:uiPriority w:val="35"/>
    <w:semiHidden/>
    <w:unhideWhenUsed/>
    <w:rsid w:val="00030303"/>
    <w:pPr>
      <w:spacing w:after="0" w:line="240" w:lineRule="auto"/>
    </w:pPr>
    <w:rPr>
      <w:rFonts w:ascii="Arial" w:eastAsia="Times New Roman" w:hAnsi="Arial" w:cs="Arial"/>
      <w:b/>
      <w:bCs/>
      <w:w w:val="100"/>
      <w:kern w:val="0"/>
      <w:sz w:val="20"/>
      <w:szCs w:val="20"/>
      <w:lang w:eastAsia="en-AU"/>
    </w:rPr>
  </w:style>
  <w:style w:type="paragraph" w:styleId="Closing">
    <w:name w:val="Closing"/>
    <w:basedOn w:val="Normal"/>
    <w:link w:val="ClosingChar"/>
    <w:uiPriority w:val="99"/>
    <w:semiHidden/>
    <w:unhideWhenUsed/>
    <w:rsid w:val="00030303"/>
    <w:pPr>
      <w:spacing w:after="0" w:line="240" w:lineRule="auto"/>
      <w:ind w:left="4252"/>
    </w:pPr>
    <w:rPr>
      <w:rFonts w:ascii="Arial" w:eastAsia="Times New Roman" w:hAnsi="Arial" w:cs="Arial"/>
      <w:w w:val="100"/>
      <w:kern w:val="0"/>
      <w:lang w:eastAsia="en-AU"/>
    </w:rPr>
  </w:style>
  <w:style w:type="character" w:customStyle="1" w:styleId="ClosingChar">
    <w:name w:val="Closing Char"/>
    <w:basedOn w:val="DefaultParagraphFont"/>
    <w:link w:val="Closing"/>
    <w:uiPriority w:val="99"/>
    <w:semiHidden/>
    <w:rsid w:val="00030303"/>
    <w:rPr>
      <w:rFonts w:ascii="Arial" w:eastAsia="Times New Roman" w:hAnsi="Arial" w:cs="Arial"/>
      <w:lang w:eastAsia="en-AU"/>
    </w:rPr>
  </w:style>
  <w:style w:type="table" w:customStyle="1" w:styleId="ColorfulGrid1">
    <w:name w:val="Colorful Grid1"/>
    <w:basedOn w:val="TableNormal"/>
    <w:next w:val="ColorfulGrid"/>
    <w:uiPriority w:val="73"/>
    <w:rsid w:val="00030303"/>
    <w:pPr>
      <w:spacing w:after="0" w:line="240" w:lineRule="auto"/>
    </w:pPr>
    <w:rPr>
      <w:rFonts w:ascii="Times New Roman" w:eastAsia="Times New Roman" w:hAnsi="Times New Roman" w:cs="Times New Roman"/>
      <w:color w:val="000000"/>
      <w:sz w:val="20"/>
      <w:szCs w:val="20"/>
      <w:lang w:eastAsia="en-AU"/>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rsid w:val="00030303"/>
    <w:pPr>
      <w:spacing w:after="0" w:line="240" w:lineRule="auto"/>
    </w:pPr>
    <w:rPr>
      <w:rFonts w:ascii="Times New Roman" w:eastAsia="Times New Roman" w:hAnsi="Times New Roman" w:cs="Times New Roman"/>
      <w:color w:val="000000"/>
      <w:sz w:val="20"/>
      <w:szCs w:val="20"/>
      <w:lang w:eastAsia="en-AU"/>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1">
    <w:name w:val="Colorful Grid - Accent 21"/>
    <w:basedOn w:val="TableNormal"/>
    <w:next w:val="ColorfulGrid-Accent2"/>
    <w:uiPriority w:val="73"/>
    <w:rsid w:val="00030303"/>
    <w:pPr>
      <w:spacing w:after="0" w:line="240" w:lineRule="auto"/>
    </w:pPr>
    <w:rPr>
      <w:rFonts w:ascii="Times New Roman" w:eastAsia="Times New Roman" w:hAnsi="Times New Roman" w:cs="Times New Roman"/>
      <w:color w:val="000000"/>
      <w:sz w:val="20"/>
      <w:szCs w:val="20"/>
      <w:lang w:eastAsia="en-AU"/>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1">
    <w:name w:val="Colorful Grid - Accent 31"/>
    <w:basedOn w:val="TableNormal"/>
    <w:next w:val="ColorfulGrid-Accent3"/>
    <w:uiPriority w:val="73"/>
    <w:rsid w:val="00030303"/>
    <w:pPr>
      <w:spacing w:after="0" w:line="240" w:lineRule="auto"/>
    </w:pPr>
    <w:rPr>
      <w:rFonts w:ascii="Times New Roman" w:eastAsia="Times New Roman" w:hAnsi="Times New Roman" w:cs="Times New Roman"/>
      <w:color w:val="000000"/>
      <w:sz w:val="20"/>
      <w:szCs w:val="20"/>
      <w:lang w:eastAsia="en-AU"/>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1">
    <w:name w:val="Colorful Grid - Accent 41"/>
    <w:basedOn w:val="TableNormal"/>
    <w:next w:val="ColorfulGrid-Accent4"/>
    <w:uiPriority w:val="73"/>
    <w:rsid w:val="00030303"/>
    <w:pPr>
      <w:spacing w:after="0" w:line="240" w:lineRule="auto"/>
    </w:pPr>
    <w:rPr>
      <w:rFonts w:ascii="Times New Roman" w:eastAsia="Times New Roman" w:hAnsi="Times New Roman" w:cs="Times New Roman"/>
      <w:color w:val="000000"/>
      <w:sz w:val="20"/>
      <w:szCs w:val="20"/>
      <w:lang w:eastAsia="en-AU"/>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1">
    <w:name w:val="Colorful Grid - Accent 51"/>
    <w:basedOn w:val="TableNormal"/>
    <w:next w:val="ColorfulGrid-Accent5"/>
    <w:uiPriority w:val="73"/>
    <w:rsid w:val="00030303"/>
    <w:pPr>
      <w:spacing w:after="0" w:line="240" w:lineRule="auto"/>
    </w:pPr>
    <w:rPr>
      <w:rFonts w:ascii="Times New Roman" w:eastAsia="Times New Roman" w:hAnsi="Times New Roman" w:cs="Times New Roman"/>
      <w:color w:val="000000"/>
      <w:sz w:val="20"/>
      <w:szCs w:val="20"/>
      <w:lang w:eastAsia="en-AU"/>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1">
    <w:name w:val="Colorful Grid - Accent 61"/>
    <w:basedOn w:val="TableNormal"/>
    <w:next w:val="ColorfulGrid-Accent6"/>
    <w:uiPriority w:val="73"/>
    <w:rsid w:val="00030303"/>
    <w:pPr>
      <w:spacing w:after="0" w:line="240" w:lineRule="auto"/>
    </w:pPr>
    <w:rPr>
      <w:rFonts w:ascii="Times New Roman" w:eastAsia="Times New Roman" w:hAnsi="Times New Roman" w:cs="Times New Roman"/>
      <w:color w:val="000000"/>
      <w:sz w:val="20"/>
      <w:szCs w:val="20"/>
      <w:lang w:eastAsia="en-AU"/>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TableNormal"/>
    <w:next w:val="ColorfulList"/>
    <w:uiPriority w:val="72"/>
    <w:rsid w:val="00030303"/>
    <w:pPr>
      <w:spacing w:after="0" w:line="240" w:lineRule="auto"/>
    </w:pPr>
    <w:rPr>
      <w:rFonts w:ascii="Times New Roman" w:eastAsia="Times New Roman" w:hAnsi="Times New Roman" w:cs="Times New Roman"/>
      <w:color w:val="000000"/>
      <w:sz w:val="20"/>
      <w:szCs w:val="20"/>
      <w:lang w:eastAsia="en-AU"/>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1">
    <w:name w:val="Colorful List - Accent 11"/>
    <w:basedOn w:val="TableNormal"/>
    <w:next w:val="ColorfulList-Accent1"/>
    <w:uiPriority w:val="72"/>
    <w:rsid w:val="00030303"/>
    <w:pPr>
      <w:spacing w:after="0" w:line="240" w:lineRule="auto"/>
    </w:pPr>
    <w:rPr>
      <w:rFonts w:ascii="Times New Roman" w:eastAsia="Times New Roman" w:hAnsi="Times New Roman" w:cs="Times New Roman"/>
      <w:color w:val="000000"/>
      <w:sz w:val="20"/>
      <w:szCs w:val="20"/>
      <w:lang w:eastAsia="en-AU"/>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1">
    <w:name w:val="Colorful List - Accent 21"/>
    <w:basedOn w:val="TableNormal"/>
    <w:next w:val="ColorfulList-Accent2"/>
    <w:uiPriority w:val="72"/>
    <w:rsid w:val="00030303"/>
    <w:pPr>
      <w:spacing w:after="0" w:line="240" w:lineRule="auto"/>
    </w:pPr>
    <w:rPr>
      <w:rFonts w:ascii="Times New Roman" w:eastAsia="Times New Roman" w:hAnsi="Times New Roman" w:cs="Times New Roman"/>
      <w:color w:val="000000"/>
      <w:sz w:val="20"/>
      <w:szCs w:val="20"/>
      <w:lang w:eastAsia="en-AU"/>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1">
    <w:name w:val="Colorful List - Accent 31"/>
    <w:basedOn w:val="TableNormal"/>
    <w:next w:val="ColorfulList-Accent3"/>
    <w:uiPriority w:val="72"/>
    <w:rsid w:val="00030303"/>
    <w:pPr>
      <w:spacing w:after="0" w:line="240" w:lineRule="auto"/>
    </w:pPr>
    <w:rPr>
      <w:rFonts w:ascii="Times New Roman" w:eastAsia="Times New Roman" w:hAnsi="Times New Roman" w:cs="Times New Roman"/>
      <w:color w:val="000000"/>
      <w:sz w:val="20"/>
      <w:szCs w:val="20"/>
      <w:lang w:eastAsia="en-AU"/>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1">
    <w:name w:val="Colorful List - Accent 41"/>
    <w:basedOn w:val="TableNormal"/>
    <w:next w:val="ColorfulList-Accent4"/>
    <w:uiPriority w:val="72"/>
    <w:rsid w:val="00030303"/>
    <w:pPr>
      <w:spacing w:after="0" w:line="240" w:lineRule="auto"/>
    </w:pPr>
    <w:rPr>
      <w:rFonts w:ascii="Times New Roman" w:eastAsia="Times New Roman" w:hAnsi="Times New Roman" w:cs="Times New Roman"/>
      <w:color w:val="000000"/>
      <w:sz w:val="20"/>
      <w:szCs w:val="20"/>
      <w:lang w:eastAsia="en-AU"/>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1">
    <w:name w:val="Colorful List - Accent 51"/>
    <w:basedOn w:val="TableNormal"/>
    <w:next w:val="ColorfulList-Accent5"/>
    <w:uiPriority w:val="72"/>
    <w:rsid w:val="00030303"/>
    <w:pPr>
      <w:spacing w:after="0" w:line="240" w:lineRule="auto"/>
    </w:pPr>
    <w:rPr>
      <w:rFonts w:ascii="Times New Roman" w:eastAsia="Times New Roman" w:hAnsi="Times New Roman" w:cs="Times New Roman"/>
      <w:color w:val="000000"/>
      <w:sz w:val="20"/>
      <w:szCs w:val="20"/>
      <w:lang w:eastAsia="en-AU"/>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1">
    <w:name w:val="Colorful List - Accent 61"/>
    <w:basedOn w:val="TableNormal"/>
    <w:next w:val="ColorfulList-Accent6"/>
    <w:uiPriority w:val="72"/>
    <w:rsid w:val="00030303"/>
    <w:pPr>
      <w:spacing w:after="0" w:line="240" w:lineRule="auto"/>
    </w:pPr>
    <w:rPr>
      <w:rFonts w:ascii="Times New Roman" w:eastAsia="Times New Roman" w:hAnsi="Times New Roman" w:cs="Times New Roman"/>
      <w:color w:val="000000"/>
      <w:sz w:val="20"/>
      <w:szCs w:val="20"/>
      <w:lang w:eastAsia="en-AU"/>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TableNormal"/>
    <w:next w:val="ColorfulShading"/>
    <w:uiPriority w:val="71"/>
    <w:rsid w:val="00030303"/>
    <w:pPr>
      <w:spacing w:after="0" w:line="240" w:lineRule="auto"/>
    </w:pPr>
    <w:rPr>
      <w:rFonts w:ascii="Times New Roman" w:eastAsia="Times New Roman" w:hAnsi="Times New Roman" w:cs="Times New Roman"/>
      <w:color w:val="000000"/>
      <w:sz w:val="20"/>
      <w:szCs w:val="20"/>
      <w:lang w:eastAsia="en-AU"/>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1">
    <w:name w:val="Colorful Shading - Accent 11"/>
    <w:basedOn w:val="TableNormal"/>
    <w:next w:val="ColorfulShading-Accent1"/>
    <w:uiPriority w:val="71"/>
    <w:rsid w:val="00030303"/>
    <w:pPr>
      <w:spacing w:after="0" w:line="240" w:lineRule="auto"/>
    </w:pPr>
    <w:rPr>
      <w:rFonts w:ascii="Times New Roman" w:eastAsia="Times New Roman" w:hAnsi="Times New Roman" w:cs="Times New Roman"/>
      <w:color w:val="000000"/>
      <w:sz w:val="20"/>
      <w:szCs w:val="20"/>
      <w:lang w:eastAsia="en-AU"/>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1">
    <w:name w:val="Colorful Shading - Accent 21"/>
    <w:basedOn w:val="TableNormal"/>
    <w:next w:val="ColorfulShading-Accent2"/>
    <w:uiPriority w:val="71"/>
    <w:rsid w:val="00030303"/>
    <w:pPr>
      <w:spacing w:after="0" w:line="240" w:lineRule="auto"/>
    </w:pPr>
    <w:rPr>
      <w:rFonts w:ascii="Times New Roman" w:eastAsia="Times New Roman" w:hAnsi="Times New Roman" w:cs="Times New Roman"/>
      <w:color w:val="000000"/>
      <w:sz w:val="20"/>
      <w:szCs w:val="20"/>
      <w:lang w:eastAsia="en-AU"/>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1">
    <w:name w:val="Colorful Shading - Accent 31"/>
    <w:basedOn w:val="TableNormal"/>
    <w:next w:val="ColorfulShading-Accent3"/>
    <w:uiPriority w:val="71"/>
    <w:rsid w:val="00030303"/>
    <w:pPr>
      <w:spacing w:after="0" w:line="240" w:lineRule="auto"/>
    </w:pPr>
    <w:rPr>
      <w:rFonts w:ascii="Times New Roman" w:eastAsia="Times New Roman" w:hAnsi="Times New Roman" w:cs="Times New Roman"/>
      <w:color w:val="000000"/>
      <w:sz w:val="20"/>
      <w:szCs w:val="20"/>
      <w:lang w:eastAsia="en-AU"/>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1">
    <w:name w:val="Colorful Shading - Accent 41"/>
    <w:basedOn w:val="TableNormal"/>
    <w:next w:val="ColorfulShading-Accent4"/>
    <w:uiPriority w:val="71"/>
    <w:rsid w:val="00030303"/>
    <w:pPr>
      <w:spacing w:after="0" w:line="240" w:lineRule="auto"/>
    </w:pPr>
    <w:rPr>
      <w:rFonts w:ascii="Times New Roman" w:eastAsia="Times New Roman" w:hAnsi="Times New Roman" w:cs="Times New Roman"/>
      <w:color w:val="000000"/>
      <w:sz w:val="20"/>
      <w:szCs w:val="20"/>
      <w:lang w:eastAsia="en-AU"/>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1">
    <w:name w:val="Colorful Shading - Accent 51"/>
    <w:basedOn w:val="TableNormal"/>
    <w:next w:val="ColorfulShading-Accent5"/>
    <w:uiPriority w:val="71"/>
    <w:rsid w:val="00030303"/>
    <w:pPr>
      <w:spacing w:after="0" w:line="240" w:lineRule="auto"/>
    </w:pPr>
    <w:rPr>
      <w:rFonts w:ascii="Times New Roman" w:eastAsia="Times New Roman" w:hAnsi="Times New Roman" w:cs="Times New Roman"/>
      <w:color w:val="000000"/>
      <w:sz w:val="20"/>
      <w:szCs w:val="20"/>
      <w:lang w:eastAsia="en-AU"/>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1">
    <w:name w:val="Colorful Shading - Accent 61"/>
    <w:basedOn w:val="TableNormal"/>
    <w:next w:val="ColorfulShading-Accent6"/>
    <w:uiPriority w:val="71"/>
    <w:rsid w:val="00030303"/>
    <w:pPr>
      <w:spacing w:after="0" w:line="240" w:lineRule="auto"/>
    </w:pPr>
    <w:rPr>
      <w:rFonts w:ascii="Times New Roman" w:eastAsia="Times New Roman" w:hAnsi="Times New Roman" w:cs="Times New Roman"/>
      <w:color w:val="000000"/>
      <w:sz w:val="20"/>
      <w:szCs w:val="20"/>
      <w:lang w:eastAsia="en-AU"/>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1">
    <w:name w:val="Dark List1"/>
    <w:basedOn w:val="TableNormal"/>
    <w:next w:val="DarkList"/>
    <w:uiPriority w:val="70"/>
    <w:rsid w:val="00030303"/>
    <w:pPr>
      <w:spacing w:after="0" w:line="240" w:lineRule="auto"/>
    </w:pPr>
    <w:rPr>
      <w:rFonts w:ascii="Times New Roman" w:eastAsia="Times New Roman" w:hAnsi="Times New Roman" w:cs="Times New Roman"/>
      <w:color w:val="FFFFFF"/>
      <w:sz w:val="20"/>
      <w:szCs w:val="20"/>
      <w:lang w:eastAsia="en-AU"/>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1">
    <w:name w:val="Dark List - Accent 11"/>
    <w:basedOn w:val="TableNormal"/>
    <w:next w:val="DarkList-Accent1"/>
    <w:uiPriority w:val="70"/>
    <w:rsid w:val="00030303"/>
    <w:pPr>
      <w:spacing w:after="0" w:line="240" w:lineRule="auto"/>
    </w:pPr>
    <w:rPr>
      <w:rFonts w:ascii="Times New Roman" w:eastAsia="Times New Roman" w:hAnsi="Times New Roman" w:cs="Times New Roman"/>
      <w:color w:val="FFFFFF"/>
      <w:sz w:val="20"/>
      <w:szCs w:val="20"/>
      <w:lang w:eastAsia="en-AU"/>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1">
    <w:name w:val="Dark List - Accent 21"/>
    <w:basedOn w:val="TableNormal"/>
    <w:next w:val="DarkList-Accent2"/>
    <w:uiPriority w:val="70"/>
    <w:rsid w:val="00030303"/>
    <w:pPr>
      <w:spacing w:after="0" w:line="240" w:lineRule="auto"/>
    </w:pPr>
    <w:rPr>
      <w:rFonts w:ascii="Times New Roman" w:eastAsia="Times New Roman" w:hAnsi="Times New Roman" w:cs="Times New Roman"/>
      <w:color w:val="FFFFFF"/>
      <w:sz w:val="20"/>
      <w:szCs w:val="20"/>
      <w:lang w:eastAsia="en-AU"/>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1">
    <w:name w:val="Dark List - Accent 31"/>
    <w:basedOn w:val="TableNormal"/>
    <w:next w:val="DarkList-Accent3"/>
    <w:uiPriority w:val="70"/>
    <w:rsid w:val="00030303"/>
    <w:pPr>
      <w:spacing w:after="0" w:line="240" w:lineRule="auto"/>
    </w:pPr>
    <w:rPr>
      <w:rFonts w:ascii="Times New Roman" w:eastAsia="Times New Roman" w:hAnsi="Times New Roman" w:cs="Times New Roman"/>
      <w:color w:val="FFFFFF"/>
      <w:sz w:val="20"/>
      <w:szCs w:val="20"/>
      <w:lang w:eastAsia="en-AU"/>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1">
    <w:name w:val="Dark List - Accent 41"/>
    <w:basedOn w:val="TableNormal"/>
    <w:next w:val="DarkList-Accent4"/>
    <w:uiPriority w:val="70"/>
    <w:rsid w:val="00030303"/>
    <w:pPr>
      <w:spacing w:after="0" w:line="240" w:lineRule="auto"/>
    </w:pPr>
    <w:rPr>
      <w:rFonts w:ascii="Times New Roman" w:eastAsia="Times New Roman" w:hAnsi="Times New Roman" w:cs="Times New Roman"/>
      <w:color w:val="FFFFFF"/>
      <w:sz w:val="20"/>
      <w:szCs w:val="20"/>
      <w:lang w:eastAsia="en-AU"/>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1">
    <w:name w:val="Dark List - Accent 51"/>
    <w:basedOn w:val="TableNormal"/>
    <w:next w:val="DarkList-Accent5"/>
    <w:uiPriority w:val="70"/>
    <w:rsid w:val="00030303"/>
    <w:pPr>
      <w:spacing w:after="0" w:line="240" w:lineRule="auto"/>
    </w:pPr>
    <w:rPr>
      <w:rFonts w:ascii="Times New Roman" w:eastAsia="Times New Roman" w:hAnsi="Times New Roman" w:cs="Times New Roman"/>
      <w:color w:val="FFFFFF"/>
      <w:sz w:val="20"/>
      <w:szCs w:val="20"/>
      <w:lang w:eastAsia="en-AU"/>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1">
    <w:name w:val="Dark List - Accent 61"/>
    <w:basedOn w:val="TableNormal"/>
    <w:next w:val="DarkList-Accent6"/>
    <w:uiPriority w:val="70"/>
    <w:rsid w:val="00030303"/>
    <w:pPr>
      <w:spacing w:after="0" w:line="240" w:lineRule="auto"/>
    </w:pPr>
    <w:rPr>
      <w:rFonts w:ascii="Times New Roman" w:eastAsia="Times New Roman" w:hAnsi="Times New Roman" w:cs="Times New Roman"/>
      <w:color w:val="FFFFFF"/>
      <w:sz w:val="20"/>
      <w:szCs w:val="20"/>
      <w:lang w:eastAsia="en-AU"/>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uiPriority w:val="99"/>
    <w:semiHidden/>
    <w:unhideWhenUsed/>
    <w:rsid w:val="00030303"/>
    <w:pPr>
      <w:spacing w:after="0" w:line="240" w:lineRule="auto"/>
    </w:pPr>
    <w:rPr>
      <w:rFonts w:ascii="Arial" w:eastAsia="Times New Roman" w:hAnsi="Arial" w:cs="Arial"/>
      <w:w w:val="100"/>
      <w:kern w:val="0"/>
      <w:lang w:eastAsia="en-AU"/>
    </w:rPr>
  </w:style>
  <w:style w:type="character" w:customStyle="1" w:styleId="DateChar">
    <w:name w:val="Date Char"/>
    <w:basedOn w:val="DefaultParagraphFont"/>
    <w:link w:val="Date"/>
    <w:uiPriority w:val="99"/>
    <w:semiHidden/>
    <w:rsid w:val="00030303"/>
    <w:rPr>
      <w:rFonts w:ascii="Arial" w:eastAsia="Times New Roman" w:hAnsi="Arial" w:cs="Arial"/>
      <w:lang w:eastAsia="en-AU"/>
    </w:rPr>
  </w:style>
  <w:style w:type="paragraph" w:styleId="DocumentMap">
    <w:name w:val="Document Map"/>
    <w:basedOn w:val="Normal"/>
    <w:link w:val="DocumentMapChar"/>
    <w:uiPriority w:val="99"/>
    <w:semiHidden/>
    <w:unhideWhenUsed/>
    <w:rsid w:val="00030303"/>
    <w:pPr>
      <w:spacing w:after="0" w:line="240" w:lineRule="auto"/>
    </w:pPr>
    <w:rPr>
      <w:rFonts w:ascii="Tahoma" w:eastAsia="Times New Roman" w:hAnsi="Tahoma" w:cs="Tahoma"/>
      <w:w w:val="100"/>
      <w:kern w:val="0"/>
      <w:sz w:val="16"/>
      <w:szCs w:val="16"/>
      <w:lang w:eastAsia="en-AU"/>
    </w:rPr>
  </w:style>
  <w:style w:type="character" w:customStyle="1" w:styleId="DocumentMapChar">
    <w:name w:val="Document Map Char"/>
    <w:basedOn w:val="DefaultParagraphFont"/>
    <w:link w:val="DocumentMap"/>
    <w:uiPriority w:val="99"/>
    <w:semiHidden/>
    <w:rsid w:val="00030303"/>
    <w:rPr>
      <w:rFonts w:ascii="Tahoma" w:eastAsia="Times New Roman" w:hAnsi="Tahoma" w:cs="Tahoma"/>
      <w:sz w:val="16"/>
      <w:szCs w:val="16"/>
      <w:lang w:eastAsia="en-AU"/>
    </w:rPr>
  </w:style>
  <w:style w:type="paragraph" w:styleId="E-mailSignature">
    <w:name w:val="E-mail Signature"/>
    <w:basedOn w:val="Normal"/>
    <w:link w:val="E-mailSignatureChar"/>
    <w:uiPriority w:val="99"/>
    <w:semiHidden/>
    <w:unhideWhenUsed/>
    <w:rsid w:val="00030303"/>
    <w:pPr>
      <w:spacing w:after="0" w:line="240" w:lineRule="auto"/>
    </w:pPr>
    <w:rPr>
      <w:rFonts w:ascii="Arial" w:eastAsia="Times New Roman" w:hAnsi="Arial" w:cs="Arial"/>
      <w:w w:val="100"/>
      <w:kern w:val="0"/>
      <w:lang w:eastAsia="en-AU"/>
    </w:rPr>
  </w:style>
  <w:style w:type="character" w:customStyle="1" w:styleId="E-mailSignatureChar">
    <w:name w:val="E-mail Signature Char"/>
    <w:basedOn w:val="DefaultParagraphFont"/>
    <w:link w:val="E-mailSignature"/>
    <w:uiPriority w:val="99"/>
    <w:semiHidden/>
    <w:rsid w:val="00030303"/>
    <w:rPr>
      <w:rFonts w:ascii="Arial" w:eastAsia="Times New Roman" w:hAnsi="Arial" w:cs="Arial"/>
      <w:lang w:eastAsia="en-AU"/>
    </w:rPr>
  </w:style>
  <w:style w:type="paragraph" w:customStyle="1" w:styleId="EnvelopeAddress1">
    <w:name w:val="Envelope Address1"/>
    <w:basedOn w:val="Normal"/>
    <w:next w:val="EnvelopeAddress"/>
    <w:uiPriority w:val="99"/>
    <w:semiHidden/>
    <w:unhideWhenUsed/>
    <w:rsid w:val="00030303"/>
    <w:pPr>
      <w:framePr w:w="7920" w:h="1980" w:hRule="exact" w:hSpace="180" w:wrap="auto" w:hAnchor="page" w:xAlign="center" w:yAlign="bottom"/>
      <w:spacing w:after="0" w:line="240" w:lineRule="auto"/>
      <w:ind w:left="2880"/>
    </w:pPr>
    <w:rPr>
      <w:rFonts w:ascii="Cambria" w:eastAsia="Times New Roman" w:hAnsi="Cambria" w:cs="Times New Roman"/>
      <w:w w:val="100"/>
      <w:kern w:val="0"/>
      <w:sz w:val="24"/>
      <w:szCs w:val="24"/>
      <w:lang w:eastAsia="en-AU"/>
    </w:rPr>
  </w:style>
  <w:style w:type="paragraph" w:customStyle="1" w:styleId="EnvelopeReturn1">
    <w:name w:val="Envelope Return1"/>
    <w:basedOn w:val="Normal"/>
    <w:next w:val="EnvelopeReturn"/>
    <w:uiPriority w:val="99"/>
    <w:semiHidden/>
    <w:unhideWhenUsed/>
    <w:rsid w:val="00030303"/>
    <w:pPr>
      <w:spacing w:after="0" w:line="240" w:lineRule="auto"/>
    </w:pPr>
    <w:rPr>
      <w:rFonts w:ascii="Cambria" w:eastAsia="Times New Roman" w:hAnsi="Cambria" w:cs="Times New Roman"/>
      <w:w w:val="100"/>
      <w:kern w:val="0"/>
      <w:sz w:val="20"/>
      <w:szCs w:val="20"/>
      <w:lang w:eastAsia="en-AU"/>
    </w:rPr>
  </w:style>
  <w:style w:type="character" w:customStyle="1" w:styleId="FollowedHyperlink1">
    <w:name w:val="FollowedHyperlink1"/>
    <w:basedOn w:val="DefaultParagraphFont"/>
    <w:uiPriority w:val="99"/>
    <w:semiHidden/>
    <w:unhideWhenUsed/>
    <w:rsid w:val="00030303"/>
    <w:rPr>
      <w:color w:val="800080"/>
      <w:u w:val="single"/>
    </w:rPr>
  </w:style>
  <w:style w:type="character" w:styleId="HTMLAcronym">
    <w:name w:val="HTML Acronym"/>
    <w:basedOn w:val="DefaultParagraphFont"/>
    <w:uiPriority w:val="99"/>
    <w:semiHidden/>
    <w:unhideWhenUsed/>
    <w:rsid w:val="00030303"/>
  </w:style>
  <w:style w:type="paragraph" w:styleId="HTMLAddress">
    <w:name w:val="HTML Address"/>
    <w:basedOn w:val="Normal"/>
    <w:link w:val="HTMLAddressChar"/>
    <w:uiPriority w:val="99"/>
    <w:semiHidden/>
    <w:unhideWhenUsed/>
    <w:rsid w:val="00030303"/>
    <w:pPr>
      <w:spacing w:after="0" w:line="240" w:lineRule="auto"/>
    </w:pPr>
    <w:rPr>
      <w:rFonts w:ascii="Arial" w:eastAsia="Times New Roman" w:hAnsi="Arial" w:cs="Arial"/>
      <w:i/>
      <w:iCs/>
      <w:w w:val="100"/>
      <w:kern w:val="0"/>
      <w:lang w:eastAsia="en-AU"/>
    </w:rPr>
  </w:style>
  <w:style w:type="character" w:customStyle="1" w:styleId="HTMLAddressChar">
    <w:name w:val="HTML Address Char"/>
    <w:basedOn w:val="DefaultParagraphFont"/>
    <w:link w:val="HTMLAddress"/>
    <w:uiPriority w:val="99"/>
    <w:semiHidden/>
    <w:rsid w:val="00030303"/>
    <w:rPr>
      <w:rFonts w:ascii="Arial" w:eastAsia="Times New Roman" w:hAnsi="Arial" w:cs="Arial"/>
      <w:i/>
      <w:iCs/>
      <w:lang w:eastAsia="en-AU"/>
    </w:rPr>
  </w:style>
  <w:style w:type="character" w:styleId="HTMLCite">
    <w:name w:val="HTML Cite"/>
    <w:basedOn w:val="DefaultParagraphFont"/>
    <w:uiPriority w:val="99"/>
    <w:semiHidden/>
    <w:unhideWhenUsed/>
    <w:rsid w:val="00030303"/>
    <w:rPr>
      <w:i/>
      <w:iCs/>
    </w:rPr>
  </w:style>
  <w:style w:type="character" w:styleId="HTMLCode">
    <w:name w:val="HTML Code"/>
    <w:basedOn w:val="DefaultParagraphFont"/>
    <w:uiPriority w:val="99"/>
    <w:semiHidden/>
    <w:unhideWhenUsed/>
    <w:rsid w:val="00030303"/>
    <w:rPr>
      <w:rFonts w:ascii="Courier New" w:hAnsi="Courier New" w:cs="Courier New"/>
      <w:sz w:val="20"/>
      <w:szCs w:val="20"/>
    </w:rPr>
  </w:style>
  <w:style w:type="character" w:styleId="HTMLDefinition">
    <w:name w:val="HTML Definition"/>
    <w:basedOn w:val="DefaultParagraphFont"/>
    <w:uiPriority w:val="99"/>
    <w:semiHidden/>
    <w:unhideWhenUsed/>
    <w:rsid w:val="00030303"/>
    <w:rPr>
      <w:i/>
      <w:iCs/>
    </w:rPr>
  </w:style>
  <w:style w:type="character" w:styleId="HTMLKeyboard">
    <w:name w:val="HTML Keyboard"/>
    <w:basedOn w:val="DefaultParagraphFont"/>
    <w:uiPriority w:val="99"/>
    <w:semiHidden/>
    <w:unhideWhenUsed/>
    <w:rsid w:val="00030303"/>
    <w:rPr>
      <w:rFonts w:ascii="Courier New" w:hAnsi="Courier New" w:cs="Courier New"/>
      <w:sz w:val="20"/>
      <w:szCs w:val="20"/>
    </w:rPr>
  </w:style>
  <w:style w:type="paragraph" w:styleId="HTMLPreformatted">
    <w:name w:val="HTML Preformatted"/>
    <w:basedOn w:val="Normal"/>
    <w:link w:val="HTMLPreformattedChar"/>
    <w:uiPriority w:val="99"/>
    <w:semiHidden/>
    <w:unhideWhenUsed/>
    <w:rsid w:val="00030303"/>
    <w:pPr>
      <w:spacing w:after="0" w:line="240" w:lineRule="auto"/>
    </w:pPr>
    <w:rPr>
      <w:rFonts w:ascii="Courier New" w:eastAsia="Times New Roman" w:hAnsi="Courier New" w:cs="Courier New"/>
      <w:w w:val="100"/>
      <w:kern w:val="0"/>
      <w:sz w:val="20"/>
      <w:szCs w:val="20"/>
      <w:lang w:eastAsia="en-AU"/>
    </w:rPr>
  </w:style>
  <w:style w:type="character" w:customStyle="1" w:styleId="HTMLPreformattedChar">
    <w:name w:val="HTML Preformatted Char"/>
    <w:basedOn w:val="DefaultParagraphFont"/>
    <w:link w:val="HTMLPreformatted"/>
    <w:uiPriority w:val="99"/>
    <w:semiHidden/>
    <w:rsid w:val="00030303"/>
    <w:rPr>
      <w:rFonts w:ascii="Courier New" w:eastAsia="Times New Roman" w:hAnsi="Courier New" w:cs="Courier New"/>
      <w:sz w:val="20"/>
      <w:szCs w:val="20"/>
      <w:lang w:eastAsia="en-AU"/>
    </w:rPr>
  </w:style>
  <w:style w:type="character" w:styleId="HTMLSample">
    <w:name w:val="HTML Sample"/>
    <w:basedOn w:val="DefaultParagraphFont"/>
    <w:uiPriority w:val="99"/>
    <w:semiHidden/>
    <w:unhideWhenUsed/>
    <w:rsid w:val="00030303"/>
    <w:rPr>
      <w:rFonts w:ascii="Courier New" w:hAnsi="Courier New" w:cs="Courier New"/>
    </w:rPr>
  </w:style>
  <w:style w:type="character" w:styleId="HTMLTypewriter">
    <w:name w:val="HTML Typewriter"/>
    <w:basedOn w:val="DefaultParagraphFont"/>
    <w:uiPriority w:val="99"/>
    <w:semiHidden/>
    <w:unhideWhenUsed/>
    <w:rsid w:val="00030303"/>
    <w:rPr>
      <w:rFonts w:ascii="Courier New" w:hAnsi="Courier New" w:cs="Courier New"/>
      <w:sz w:val="20"/>
      <w:szCs w:val="20"/>
    </w:rPr>
  </w:style>
  <w:style w:type="character" w:styleId="HTMLVariable">
    <w:name w:val="HTML Variable"/>
    <w:basedOn w:val="DefaultParagraphFont"/>
    <w:uiPriority w:val="99"/>
    <w:semiHidden/>
    <w:unhideWhenUsed/>
    <w:rsid w:val="00030303"/>
    <w:rPr>
      <w:i/>
      <w:iCs/>
    </w:rPr>
  </w:style>
  <w:style w:type="paragraph" w:styleId="Index1">
    <w:name w:val="index 1"/>
    <w:basedOn w:val="Normal"/>
    <w:next w:val="Normal"/>
    <w:autoRedefine/>
    <w:uiPriority w:val="99"/>
    <w:semiHidden/>
    <w:unhideWhenUsed/>
    <w:rsid w:val="00030303"/>
    <w:pPr>
      <w:spacing w:after="0" w:line="240" w:lineRule="auto"/>
      <w:ind w:left="220" w:hanging="220"/>
    </w:pPr>
    <w:rPr>
      <w:rFonts w:ascii="Arial" w:eastAsia="Times New Roman" w:hAnsi="Arial" w:cs="Arial"/>
      <w:w w:val="100"/>
      <w:kern w:val="0"/>
      <w:lang w:eastAsia="en-AU"/>
    </w:rPr>
  </w:style>
  <w:style w:type="paragraph" w:styleId="Index2">
    <w:name w:val="index 2"/>
    <w:basedOn w:val="Normal"/>
    <w:next w:val="Normal"/>
    <w:autoRedefine/>
    <w:uiPriority w:val="99"/>
    <w:semiHidden/>
    <w:unhideWhenUsed/>
    <w:rsid w:val="00030303"/>
    <w:pPr>
      <w:spacing w:after="0" w:line="240" w:lineRule="auto"/>
      <w:ind w:left="440" w:hanging="220"/>
    </w:pPr>
    <w:rPr>
      <w:rFonts w:ascii="Arial" w:eastAsia="Times New Roman" w:hAnsi="Arial" w:cs="Arial"/>
      <w:w w:val="100"/>
      <w:kern w:val="0"/>
      <w:lang w:eastAsia="en-AU"/>
    </w:rPr>
  </w:style>
  <w:style w:type="paragraph" w:styleId="Index3">
    <w:name w:val="index 3"/>
    <w:basedOn w:val="Normal"/>
    <w:next w:val="Normal"/>
    <w:autoRedefine/>
    <w:uiPriority w:val="99"/>
    <w:semiHidden/>
    <w:unhideWhenUsed/>
    <w:rsid w:val="00030303"/>
    <w:pPr>
      <w:spacing w:after="0" w:line="240" w:lineRule="auto"/>
      <w:ind w:left="660" w:hanging="220"/>
    </w:pPr>
    <w:rPr>
      <w:rFonts w:ascii="Arial" w:eastAsia="Times New Roman" w:hAnsi="Arial" w:cs="Arial"/>
      <w:w w:val="100"/>
      <w:kern w:val="0"/>
      <w:lang w:eastAsia="en-AU"/>
    </w:rPr>
  </w:style>
  <w:style w:type="paragraph" w:styleId="Index4">
    <w:name w:val="index 4"/>
    <w:basedOn w:val="Normal"/>
    <w:next w:val="Normal"/>
    <w:autoRedefine/>
    <w:uiPriority w:val="99"/>
    <w:semiHidden/>
    <w:unhideWhenUsed/>
    <w:rsid w:val="00030303"/>
    <w:pPr>
      <w:spacing w:after="0" w:line="240" w:lineRule="auto"/>
      <w:ind w:left="880" w:hanging="220"/>
    </w:pPr>
    <w:rPr>
      <w:rFonts w:ascii="Arial" w:eastAsia="Times New Roman" w:hAnsi="Arial" w:cs="Arial"/>
      <w:w w:val="100"/>
      <w:kern w:val="0"/>
      <w:lang w:eastAsia="en-AU"/>
    </w:rPr>
  </w:style>
  <w:style w:type="paragraph" w:styleId="Index5">
    <w:name w:val="index 5"/>
    <w:basedOn w:val="Normal"/>
    <w:next w:val="Normal"/>
    <w:autoRedefine/>
    <w:uiPriority w:val="99"/>
    <w:semiHidden/>
    <w:unhideWhenUsed/>
    <w:rsid w:val="00030303"/>
    <w:pPr>
      <w:spacing w:after="0" w:line="240" w:lineRule="auto"/>
      <w:ind w:left="1100" w:hanging="220"/>
    </w:pPr>
    <w:rPr>
      <w:rFonts w:ascii="Arial" w:eastAsia="Times New Roman" w:hAnsi="Arial" w:cs="Arial"/>
      <w:w w:val="100"/>
      <w:kern w:val="0"/>
      <w:lang w:eastAsia="en-AU"/>
    </w:rPr>
  </w:style>
  <w:style w:type="paragraph" w:styleId="Index6">
    <w:name w:val="index 6"/>
    <w:basedOn w:val="Normal"/>
    <w:next w:val="Normal"/>
    <w:autoRedefine/>
    <w:uiPriority w:val="99"/>
    <w:semiHidden/>
    <w:unhideWhenUsed/>
    <w:rsid w:val="00030303"/>
    <w:pPr>
      <w:spacing w:after="0" w:line="240" w:lineRule="auto"/>
      <w:ind w:left="1320" w:hanging="220"/>
    </w:pPr>
    <w:rPr>
      <w:rFonts w:ascii="Arial" w:eastAsia="Times New Roman" w:hAnsi="Arial" w:cs="Arial"/>
      <w:w w:val="100"/>
      <w:kern w:val="0"/>
      <w:lang w:eastAsia="en-AU"/>
    </w:rPr>
  </w:style>
  <w:style w:type="paragraph" w:styleId="Index7">
    <w:name w:val="index 7"/>
    <w:basedOn w:val="Normal"/>
    <w:next w:val="Normal"/>
    <w:autoRedefine/>
    <w:uiPriority w:val="99"/>
    <w:semiHidden/>
    <w:unhideWhenUsed/>
    <w:rsid w:val="00030303"/>
    <w:pPr>
      <w:spacing w:after="0" w:line="240" w:lineRule="auto"/>
      <w:ind w:left="1540" w:hanging="220"/>
    </w:pPr>
    <w:rPr>
      <w:rFonts w:ascii="Arial" w:eastAsia="Times New Roman" w:hAnsi="Arial" w:cs="Arial"/>
      <w:w w:val="100"/>
      <w:kern w:val="0"/>
      <w:lang w:eastAsia="en-AU"/>
    </w:rPr>
  </w:style>
  <w:style w:type="paragraph" w:styleId="Index8">
    <w:name w:val="index 8"/>
    <w:basedOn w:val="Normal"/>
    <w:next w:val="Normal"/>
    <w:autoRedefine/>
    <w:uiPriority w:val="99"/>
    <w:semiHidden/>
    <w:unhideWhenUsed/>
    <w:rsid w:val="00030303"/>
    <w:pPr>
      <w:spacing w:after="0" w:line="240" w:lineRule="auto"/>
      <w:ind w:left="1760" w:hanging="220"/>
    </w:pPr>
    <w:rPr>
      <w:rFonts w:ascii="Arial" w:eastAsia="Times New Roman" w:hAnsi="Arial" w:cs="Arial"/>
      <w:w w:val="100"/>
      <w:kern w:val="0"/>
      <w:lang w:eastAsia="en-AU"/>
    </w:rPr>
  </w:style>
  <w:style w:type="paragraph" w:styleId="Index9">
    <w:name w:val="index 9"/>
    <w:basedOn w:val="Normal"/>
    <w:next w:val="Normal"/>
    <w:autoRedefine/>
    <w:uiPriority w:val="99"/>
    <w:semiHidden/>
    <w:unhideWhenUsed/>
    <w:rsid w:val="00030303"/>
    <w:pPr>
      <w:spacing w:after="0" w:line="240" w:lineRule="auto"/>
      <w:ind w:left="1980" w:hanging="220"/>
    </w:pPr>
    <w:rPr>
      <w:rFonts w:ascii="Arial" w:eastAsia="Times New Roman" w:hAnsi="Arial" w:cs="Arial"/>
      <w:w w:val="100"/>
      <w:kern w:val="0"/>
      <w:lang w:eastAsia="en-AU"/>
    </w:rPr>
  </w:style>
  <w:style w:type="paragraph" w:customStyle="1" w:styleId="IndexHeading1">
    <w:name w:val="Index Heading1"/>
    <w:basedOn w:val="Normal"/>
    <w:next w:val="Index1"/>
    <w:uiPriority w:val="99"/>
    <w:semiHidden/>
    <w:unhideWhenUsed/>
    <w:rsid w:val="00030303"/>
    <w:pPr>
      <w:spacing w:after="0" w:line="240" w:lineRule="auto"/>
    </w:pPr>
    <w:rPr>
      <w:rFonts w:ascii="Cambria" w:eastAsia="Times New Roman" w:hAnsi="Cambria" w:cs="Times New Roman"/>
      <w:b/>
      <w:bCs/>
      <w:w w:val="100"/>
      <w:kern w:val="0"/>
      <w:lang w:eastAsia="en-AU"/>
    </w:rPr>
  </w:style>
  <w:style w:type="character" w:customStyle="1" w:styleId="IntenseEmphasis1">
    <w:name w:val="Intense Emphasis1"/>
    <w:basedOn w:val="DefaultParagraphFont"/>
    <w:uiPriority w:val="98"/>
    <w:semiHidden/>
    <w:rsid w:val="00030303"/>
    <w:rPr>
      <w:b/>
      <w:bCs/>
      <w:i/>
      <w:iCs/>
      <w:color w:val="4F81BD"/>
    </w:rPr>
  </w:style>
  <w:style w:type="paragraph" w:customStyle="1" w:styleId="IntenseQuote1">
    <w:name w:val="Intense Quote1"/>
    <w:basedOn w:val="Normal"/>
    <w:next w:val="Normal"/>
    <w:uiPriority w:val="98"/>
    <w:semiHidden/>
    <w:rsid w:val="00030303"/>
    <w:pPr>
      <w:pBdr>
        <w:bottom w:val="single" w:sz="4" w:space="4" w:color="4F81BD"/>
      </w:pBdr>
      <w:spacing w:before="200" w:after="280" w:line="240" w:lineRule="auto"/>
      <w:ind w:left="936" w:right="936"/>
    </w:pPr>
    <w:rPr>
      <w:rFonts w:ascii="Arial" w:eastAsia="Times New Roman" w:hAnsi="Arial" w:cs="Arial"/>
      <w:b/>
      <w:bCs/>
      <w:i/>
      <w:iCs/>
      <w:color w:val="4F81BD"/>
      <w:w w:val="100"/>
      <w:kern w:val="0"/>
      <w:lang w:eastAsia="en-AU"/>
    </w:rPr>
  </w:style>
  <w:style w:type="character" w:customStyle="1" w:styleId="IntenseReference1">
    <w:name w:val="Intense Reference1"/>
    <w:basedOn w:val="DefaultParagraphFont"/>
    <w:uiPriority w:val="98"/>
    <w:semiHidden/>
    <w:rsid w:val="00030303"/>
    <w:rPr>
      <w:b/>
      <w:bCs/>
      <w:smallCaps/>
      <w:color w:val="C0504D"/>
      <w:spacing w:val="5"/>
      <w:u w:val="single"/>
    </w:rPr>
  </w:style>
  <w:style w:type="table" w:customStyle="1" w:styleId="LightGrid1">
    <w:name w:val="Light Grid1"/>
    <w:basedOn w:val="TableNormal"/>
    <w:next w:val="LightGrid"/>
    <w:uiPriority w:val="62"/>
    <w:rsid w:val="00030303"/>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next w:val="LightGrid-Accent1"/>
    <w:uiPriority w:val="62"/>
    <w:rsid w:val="00030303"/>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1">
    <w:name w:val="Light Grid - Accent 21"/>
    <w:basedOn w:val="TableNormal"/>
    <w:next w:val="LightGrid-Accent2"/>
    <w:uiPriority w:val="62"/>
    <w:rsid w:val="00030303"/>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1">
    <w:name w:val="Light Grid - Accent 31"/>
    <w:basedOn w:val="TableNormal"/>
    <w:next w:val="LightGrid-Accent3"/>
    <w:uiPriority w:val="62"/>
    <w:rsid w:val="00030303"/>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
    <w:name w:val="Light Grid - Accent 41"/>
    <w:basedOn w:val="TableNormal"/>
    <w:next w:val="LightGrid-Accent4"/>
    <w:uiPriority w:val="62"/>
    <w:rsid w:val="00030303"/>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1">
    <w:name w:val="Light Grid - Accent 51"/>
    <w:basedOn w:val="TableNormal"/>
    <w:next w:val="LightGrid-Accent5"/>
    <w:uiPriority w:val="62"/>
    <w:rsid w:val="00030303"/>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
    <w:name w:val="Light Grid - Accent 61"/>
    <w:basedOn w:val="TableNormal"/>
    <w:next w:val="LightGrid-Accent6"/>
    <w:uiPriority w:val="62"/>
    <w:rsid w:val="00030303"/>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TableNormal"/>
    <w:next w:val="LightList"/>
    <w:uiPriority w:val="61"/>
    <w:rsid w:val="00030303"/>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next w:val="LightList-Accent1"/>
    <w:uiPriority w:val="61"/>
    <w:rsid w:val="00030303"/>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leNormal"/>
    <w:next w:val="LightList-Accent2"/>
    <w:uiPriority w:val="61"/>
    <w:rsid w:val="00030303"/>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1">
    <w:name w:val="Light List - Accent 31"/>
    <w:basedOn w:val="TableNormal"/>
    <w:next w:val="LightList-Accent3"/>
    <w:uiPriority w:val="61"/>
    <w:rsid w:val="00030303"/>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1">
    <w:name w:val="Light List - Accent 41"/>
    <w:basedOn w:val="TableNormal"/>
    <w:next w:val="LightList-Accent4"/>
    <w:uiPriority w:val="61"/>
    <w:rsid w:val="00030303"/>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1">
    <w:name w:val="Light List - Accent 51"/>
    <w:basedOn w:val="TableNormal"/>
    <w:next w:val="LightList-Accent5"/>
    <w:uiPriority w:val="61"/>
    <w:rsid w:val="00030303"/>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
    <w:name w:val="Light List - Accent 61"/>
    <w:basedOn w:val="TableNormal"/>
    <w:next w:val="LightList-Accent6"/>
    <w:uiPriority w:val="61"/>
    <w:rsid w:val="00030303"/>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TableNormal"/>
    <w:next w:val="LightShading"/>
    <w:uiPriority w:val="60"/>
    <w:rsid w:val="00030303"/>
    <w:pPr>
      <w:spacing w:after="0" w:line="240" w:lineRule="auto"/>
    </w:pPr>
    <w:rPr>
      <w:rFonts w:ascii="Times New Roman" w:eastAsia="Times New Roman" w:hAnsi="Times New Roman" w:cs="Times New Roman"/>
      <w:color w:val="000000"/>
      <w:sz w:val="20"/>
      <w:szCs w:val="20"/>
      <w:lang w:eastAsia="en-A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next w:val="LightShading-Accent1"/>
    <w:uiPriority w:val="60"/>
    <w:rsid w:val="00030303"/>
    <w:pPr>
      <w:spacing w:after="0" w:line="240" w:lineRule="auto"/>
    </w:pPr>
    <w:rPr>
      <w:rFonts w:ascii="Times New Roman" w:eastAsia="Times New Roman" w:hAnsi="Times New Roman" w:cs="Times New Roman"/>
      <w:color w:val="365F91"/>
      <w:sz w:val="20"/>
      <w:szCs w:val="20"/>
      <w:lang w:eastAsia="en-A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1">
    <w:name w:val="Light Shading - Accent 21"/>
    <w:basedOn w:val="TableNormal"/>
    <w:next w:val="LightShading-Accent2"/>
    <w:uiPriority w:val="60"/>
    <w:rsid w:val="00030303"/>
    <w:pPr>
      <w:spacing w:after="0" w:line="240" w:lineRule="auto"/>
    </w:pPr>
    <w:rPr>
      <w:rFonts w:ascii="Times New Roman" w:eastAsia="Times New Roman" w:hAnsi="Times New Roman" w:cs="Times New Roman"/>
      <w:color w:val="943634"/>
      <w:sz w:val="20"/>
      <w:szCs w:val="20"/>
      <w:lang w:eastAsia="en-AU"/>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
    <w:name w:val="Light Shading - Accent 31"/>
    <w:basedOn w:val="TableNormal"/>
    <w:next w:val="LightShading-Accent3"/>
    <w:uiPriority w:val="60"/>
    <w:rsid w:val="00030303"/>
    <w:pPr>
      <w:spacing w:after="0" w:line="240" w:lineRule="auto"/>
    </w:pPr>
    <w:rPr>
      <w:rFonts w:ascii="Times New Roman" w:eastAsia="Times New Roman" w:hAnsi="Times New Roman" w:cs="Times New Roman"/>
      <w:color w:val="76923C"/>
      <w:sz w:val="20"/>
      <w:szCs w:val="20"/>
      <w:lang w:eastAsia="en-AU"/>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
    <w:name w:val="Light Shading - Accent 41"/>
    <w:basedOn w:val="TableNormal"/>
    <w:next w:val="LightShading-Accent4"/>
    <w:uiPriority w:val="60"/>
    <w:rsid w:val="00030303"/>
    <w:pPr>
      <w:spacing w:after="0" w:line="240" w:lineRule="auto"/>
    </w:pPr>
    <w:rPr>
      <w:rFonts w:ascii="Times New Roman" w:eastAsia="Times New Roman" w:hAnsi="Times New Roman" w:cs="Times New Roman"/>
      <w:color w:val="5F497A"/>
      <w:sz w:val="20"/>
      <w:szCs w:val="20"/>
      <w:lang w:eastAsia="en-AU"/>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
    <w:name w:val="Light Shading - Accent 51"/>
    <w:basedOn w:val="TableNormal"/>
    <w:next w:val="LightShading-Accent5"/>
    <w:uiPriority w:val="60"/>
    <w:rsid w:val="00030303"/>
    <w:pPr>
      <w:spacing w:after="0" w:line="240" w:lineRule="auto"/>
    </w:pPr>
    <w:rPr>
      <w:rFonts w:ascii="Times New Roman" w:eastAsia="Times New Roman" w:hAnsi="Times New Roman" w:cs="Times New Roman"/>
      <w:color w:val="31849B"/>
      <w:sz w:val="20"/>
      <w:szCs w:val="20"/>
      <w:lang w:eastAsia="en-AU"/>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1">
    <w:name w:val="Light Shading - Accent 61"/>
    <w:basedOn w:val="TableNormal"/>
    <w:next w:val="LightShading-Accent6"/>
    <w:uiPriority w:val="60"/>
    <w:rsid w:val="00030303"/>
    <w:pPr>
      <w:spacing w:after="0" w:line="240" w:lineRule="auto"/>
    </w:pPr>
    <w:rPr>
      <w:rFonts w:ascii="Times New Roman" w:eastAsia="Times New Roman" w:hAnsi="Times New Roman" w:cs="Times New Roman"/>
      <w:color w:val="E36C0A"/>
      <w:sz w:val="20"/>
      <w:szCs w:val="20"/>
      <w:lang w:eastAsia="en-AU"/>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basedOn w:val="DefaultParagraphFont"/>
    <w:uiPriority w:val="99"/>
    <w:semiHidden/>
    <w:unhideWhenUsed/>
    <w:rsid w:val="00030303"/>
  </w:style>
  <w:style w:type="paragraph" w:styleId="List">
    <w:name w:val="List"/>
    <w:basedOn w:val="Normal"/>
    <w:uiPriority w:val="99"/>
    <w:semiHidden/>
    <w:unhideWhenUsed/>
    <w:rsid w:val="00030303"/>
    <w:pPr>
      <w:spacing w:after="0" w:line="240" w:lineRule="auto"/>
      <w:ind w:left="283" w:hanging="283"/>
      <w:contextualSpacing/>
    </w:pPr>
    <w:rPr>
      <w:rFonts w:ascii="Arial" w:eastAsia="Times New Roman" w:hAnsi="Arial" w:cs="Arial"/>
      <w:w w:val="100"/>
      <w:kern w:val="0"/>
      <w:lang w:eastAsia="en-AU"/>
    </w:rPr>
  </w:style>
  <w:style w:type="paragraph" w:styleId="List2">
    <w:name w:val="List 2"/>
    <w:basedOn w:val="Normal"/>
    <w:uiPriority w:val="99"/>
    <w:semiHidden/>
    <w:unhideWhenUsed/>
    <w:rsid w:val="00030303"/>
    <w:pPr>
      <w:spacing w:after="0" w:line="240" w:lineRule="auto"/>
      <w:ind w:left="566" w:hanging="283"/>
      <w:contextualSpacing/>
    </w:pPr>
    <w:rPr>
      <w:rFonts w:ascii="Arial" w:eastAsia="Times New Roman" w:hAnsi="Arial" w:cs="Arial"/>
      <w:w w:val="100"/>
      <w:kern w:val="0"/>
      <w:lang w:eastAsia="en-AU"/>
    </w:rPr>
  </w:style>
  <w:style w:type="paragraph" w:styleId="List3">
    <w:name w:val="List 3"/>
    <w:basedOn w:val="Normal"/>
    <w:uiPriority w:val="99"/>
    <w:semiHidden/>
    <w:unhideWhenUsed/>
    <w:rsid w:val="00030303"/>
    <w:pPr>
      <w:spacing w:after="0" w:line="240" w:lineRule="auto"/>
      <w:ind w:left="849" w:hanging="283"/>
      <w:contextualSpacing/>
    </w:pPr>
    <w:rPr>
      <w:rFonts w:ascii="Arial" w:eastAsia="Times New Roman" w:hAnsi="Arial" w:cs="Arial"/>
      <w:w w:val="100"/>
      <w:kern w:val="0"/>
      <w:lang w:eastAsia="en-AU"/>
    </w:rPr>
  </w:style>
  <w:style w:type="paragraph" w:styleId="List4">
    <w:name w:val="List 4"/>
    <w:basedOn w:val="Normal"/>
    <w:uiPriority w:val="99"/>
    <w:semiHidden/>
    <w:unhideWhenUsed/>
    <w:rsid w:val="00030303"/>
    <w:pPr>
      <w:spacing w:after="0" w:line="240" w:lineRule="auto"/>
      <w:ind w:left="1132" w:hanging="283"/>
      <w:contextualSpacing/>
    </w:pPr>
    <w:rPr>
      <w:rFonts w:ascii="Arial" w:eastAsia="Times New Roman" w:hAnsi="Arial" w:cs="Arial"/>
      <w:w w:val="100"/>
      <w:kern w:val="0"/>
      <w:lang w:eastAsia="en-AU"/>
    </w:rPr>
  </w:style>
  <w:style w:type="paragraph" w:styleId="List5">
    <w:name w:val="List 5"/>
    <w:basedOn w:val="Normal"/>
    <w:uiPriority w:val="99"/>
    <w:semiHidden/>
    <w:unhideWhenUsed/>
    <w:rsid w:val="00030303"/>
    <w:pPr>
      <w:spacing w:after="0" w:line="240" w:lineRule="auto"/>
      <w:ind w:left="1415" w:hanging="283"/>
      <w:contextualSpacing/>
    </w:pPr>
    <w:rPr>
      <w:rFonts w:ascii="Arial" w:eastAsia="Times New Roman" w:hAnsi="Arial" w:cs="Arial"/>
      <w:w w:val="100"/>
      <w:kern w:val="0"/>
      <w:lang w:eastAsia="en-AU"/>
    </w:rPr>
  </w:style>
  <w:style w:type="paragraph" w:styleId="ListBullet">
    <w:name w:val="List Bullet"/>
    <w:basedOn w:val="Normal"/>
    <w:uiPriority w:val="99"/>
    <w:semiHidden/>
    <w:unhideWhenUsed/>
    <w:rsid w:val="00030303"/>
    <w:pPr>
      <w:numPr>
        <w:numId w:val="38"/>
      </w:numPr>
      <w:spacing w:after="0" w:line="240" w:lineRule="auto"/>
      <w:contextualSpacing/>
    </w:pPr>
    <w:rPr>
      <w:rFonts w:ascii="Arial" w:eastAsia="Times New Roman" w:hAnsi="Arial" w:cs="Arial"/>
      <w:w w:val="100"/>
      <w:kern w:val="0"/>
      <w:lang w:eastAsia="en-AU"/>
    </w:rPr>
  </w:style>
  <w:style w:type="paragraph" w:styleId="ListBullet2">
    <w:name w:val="List Bullet 2"/>
    <w:basedOn w:val="Normal"/>
    <w:uiPriority w:val="99"/>
    <w:semiHidden/>
    <w:unhideWhenUsed/>
    <w:rsid w:val="00030303"/>
    <w:pPr>
      <w:numPr>
        <w:numId w:val="39"/>
      </w:numPr>
      <w:spacing w:after="0" w:line="240" w:lineRule="auto"/>
      <w:contextualSpacing/>
    </w:pPr>
    <w:rPr>
      <w:rFonts w:ascii="Arial" w:eastAsia="Times New Roman" w:hAnsi="Arial" w:cs="Arial"/>
      <w:w w:val="100"/>
      <w:kern w:val="0"/>
      <w:lang w:eastAsia="en-AU"/>
    </w:rPr>
  </w:style>
  <w:style w:type="paragraph" w:styleId="ListBullet3">
    <w:name w:val="List Bullet 3"/>
    <w:basedOn w:val="Normal"/>
    <w:uiPriority w:val="99"/>
    <w:semiHidden/>
    <w:unhideWhenUsed/>
    <w:rsid w:val="00030303"/>
    <w:pPr>
      <w:numPr>
        <w:numId w:val="40"/>
      </w:numPr>
      <w:spacing w:after="0" w:line="240" w:lineRule="auto"/>
      <w:contextualSpacing/>
    </w:pPr>
    <w:rPr>
      <w:rFonts w:ascii="Arial" w:eastAsia="Times New Roman" w:hAnsi="Arial" w:cs="Arial"/>
      <w:w w:val="100"/>
      <w:kern w:val="0"/>
      <w:lang w:eastAsia="en-AU"/>
    </w:rPr>
  </w:style>
  <w:style w:type="paragraph" w:styleId="ListBullet4">
    <w:name w:val="List Bullet 4"/>
    <w:basedOn w:val="Normal"/>
    <w:uiPriority w:val="99"/>
    <w:semiHidden/>
    <w:unhideWhenUsed/>
    <w:rsid w:val="00030303"/>
    <w:pPr>
      <w:numPr>
        <w:numId w:val="41"/>
      </w:numPr>
      <w:spacing w:after="0" w:line="240" w:lineRule="auto"/>
      <w:contextualSpacing/>
    </w:pPr>
    <w:rPr>
      <w:rFonts w:ascii="Arial" w:eastAsia="Times New Roman" w:hAnsi="Arial" w:cs="Arial"/>
      <w:w w:val="100"/>
      <w:kern w:val="0"/>
      <w:lang w:eastAsia="en-AU"/>
    </w:rPr>
  </w:style>
  <w:style w:type="paragraph" w:styleId="ListContinue">
    <w:name w:val="List Continue"/>
    <w:basedOn w:val="Normal"/>
    <w:uiPriority w:val="99"/>
    <w:semiHidden/>
    <w:unhideWhenUsed/>
    <w:rsid w:val="00030303"/>
    <w:pPr>
      <w:spacing w:after="120" w:line="240" w:lineRule="auto"/>
      <w:ind w:left="283"/>
      <w:contextualSpacing/>
    </w:pPr>
    <w:rPr>
      <w:rFonts w:ascii="Arial" w:eastAsia="Times New Roman" w:hAnsi="Arial" w:cs="Arial"/>
      <w:w w:val="100"/>
      <w:kern w:val="0"/>
      <w:lang w:eastAsia="en-AU"/>
    </w:rPr>
  </w:style>
  <w:style w:type="paragraph" w:styleId="ListContinue2">
    <w:name w:val="List Continue 2"/>
    <w:basedOn w:val="Normal"/>
    <w:uiPriority w:val="99"/>
    <w:semiHidden/>
    <w:unhideWhenUsed/>
    <w:rsid w:val="00030303"/>
    <w:pPr>
      <w:spacing w:after="120" w:line="240" w:lineRule="auto"/>
      <w:ind w:left="566"/>
      <w:contextualSpacing/>
    </w:pPr>
    <w:rPr>
      <w:rFonts w:ascii="Arial" w:eastAsia="Times New Roman" w:hAnsi="Arial" w:cs="Arial"/>
      <w:w w:val="100"/>
      <w:kern w:val="0"/>
      <w:lang w:eastAsia="en-AU"/>
    </w:rPr>
  </w:style>
  <w:style w:type="paragraph" w:styleId="ListContinue3">
    <w:name w:val="List Continue 3"/>
    <w:basedOn w:val="Normal"/>
    <w:uiPriority w:val="99"/>
    <w:semiHidden/>
    <w:unhideWhenUsed/>
    <w:rsid w:val="00030303"/>
    <w:pPr>
      <w:spacing w:after="120" w:line="240" w:lineRule="auto"/>
      <w:ind w:left="849"/>
      <w:contextualSpacing/>
    </w:pPr>
    <w:rPr>
      <w:rFonts w:ascii="Arial" w:eastAsia="Times New Roman" w:hAnsi="Arial" w:cs="Arial"/>
      <w:w w:val="100"/>
      <w:kern w:val="0"/>
      <w:lang w:eastAsia="en-AU"/>
    </w:rPr>
  </w:style>
  <w:style w:type="paragraph" w:styleId="ListContinue4">
    <w:name w:val="List Continue 4"/>
    <w:basedOn w:val="Normal"/>
    <w:uiPriority w:val="99"/>
    <w:semiHidden/>
    <w:unhideWhenUsed/>
    <w:rsid w:val="00030303"/>
    <w:pPr>
      <w:spacing w:after="120" w:line="240" w:lineRule="auto"/>
      <w:ind w:left="1132"/>
      <w:contextualSpacing/>
    </w:pPr>
    <w:rPr>
      <w:rFonts w:ascii="Arial" w:eastAsia="Times New Roman" w:hAnsi="Arial" w:cs="Arial"/>
      <w:w w:val="100"/>
      <w:kern w:val="0"/>
      <w:lang w:eastAsia="en-AU"/>
    </w:rPr>
  </w:style>
  <w:style w:type="paragraph" w:styleId="ListContinue5">
    <w:name w:val="List Continue 5"/>
    <w:basedOn w:val="Normal"/>
    <w:uiPriority w:val="99"/>
    <w:semiHidden/>
    <w:unhideWhenUsed/>
    <w:rsid w:val="00030303"/>
    <w:pPr>
      <w:spacing w:after="120" w:line="240" w:lineRule="auto"/>
      <w:ind w:left="1415"/>
      <w:contextualSpacing/>
    </w:pPr>
    <w:rPr>
      <w:rFonts w:ascii="Arial" w:eastAsia="Times New Roman" w:hAnsi="Arial" w:cs="Arial"/>
      <w:w w:val="100"/>
      <w:kern w:val="0"/>
      <w:lang w:eastAsia="en-AU"/>
    </w:rPr>
  </w:style>
  <w:style w:type="paragraph" w:styleId="ListNumber">
    <w:name w:val="List Number"/>
    <w:basedOn w:val="Normal"/>
    <w:uiPriority w:val="98"/>
    <w:semiHidden/>
    <w:rsid w:val="00030303"/>
    <w:pPr>
      <w:numPr>
        <w:numId w:val="42"/>
      </w:numPr>
      <w:spacing w:after="0" w:line="240" w:lineRule="auto"/>
      <w:contextualSpacing/>
    </w:pPr>
    <w:rPr>
      <w:rFonts w:ascii="Arial" w:eastAsia="Times New Roman" w:hAnsi="Arial" w:cs="Arial"/>
      <w:w w:val="100"/>
      <w:kern w:val="0"/>
      <w:lang w:eastAsia="en-AU"/>
    </w:rPr>
  </w:style>
  <w:style w:type="paragraph" w:styleId="ListNumber2">
    <w:name w:val="List Number 2"/>
    <w:basedOn w:val="Normal"/>
    <w:uiPriority w:val="98"/>
    <w:semiHidden/>
    <w:rsid w:val="00030303"/>
    <w:pPr>
      <w:numPr>
        <w:numId w:val="43"/>
      </w:numPr>
      <w:spacing w:after="0" w:line="240" w:lineRule="auto"/>
      <w:contextualSpacing/>
    </w:pPr>
    <w:rPr>
      <w:rFonts w:ascii="Arial" w:eastAsia="Times New Roman" w:hAnsi="Arial" w:cs="Arial"/>
      <w:w w:val="100"/>
      <w:kern w:val="0"/>
      <w:lang w:eastAsia="en-AU"/>
    </w:rPr>
  </w:style>
  <w:style w:type="paragraph" w:styleId="ListNumber3">
    <w:name w:val="List Number 3"/>
    <w:basedOn w:val="Normal"/>
    <w:uiPriority w:val="98"/>
    <w:semiHidden/>
    <w:rsid w:val="00030303"/>
    <w:pPr>
      <w:numPr>
        <w:numId w:val="44"/>
      </w:numPr>
      <w:spacing w:after="0" w:line="240" w:lineRule="auto"/>
      <w:contextualSpacing/>
    </w:pPr>
    <w:rPr>
      <w:rFonts w:ascii="Arial" w:eastAsia="Times New Roman" w:hAnsi="Arial" w:cs="Arial"/>
      <w:w w:val="100"/>
      <w:kern w:val="0"/>
      <w:lang w:eastAsia="en-AU"/>
    </w:rPr>
  </w:style>
  <w:style w:type="paragraph" w:styleId="ListNumber4">
    <w:name w:val="List Number 4"/>
    <w:basedOn w:val="Normal"/>
    <w:uiPriority w:val="98"/>
    <w:semiHidden/>
    <w:rsid w:val="00030303"/>
    <w:pPr>
      <w:numPr>
        <w:numId w:val="45"/>
      </w:numPr>
      <w:spacing w:after="0" w:line="240" w:lineRule="auto"/>
      <w:contextualSpacing/>
    </w:pPr>
    <w:rPr>
      <w:rFonts w:ascii="Arial" w:eastAsia="Times New Roman" w:hAnsi="Arial" w:cs="Arial"/>
      <w:w w:val="100"/>
      <w:kern w:val="0"/>
      <w:lang w:eastAsia="en-AU"/>
    </w:rPr>
  </w:style>
  <w:style w:type="paragraph" w:styleId="ListNumber5">
    <w:name w:val="List Number 5"/>
    <w:basedOn w:val="Normal"/>
    <w:uiPriority w:val="98"/>
    <w:semiHidden/>
    <w:rsid w:val="00030303"/>
    <w:pPr>
      <w:numPr>
        <w:numId w:val="46"/>
      </w:numPr>
      <w:spacing w:after="0" w:line="240" w:lineRule="auto"/>
      <w:contextualSpacing/>
    </w:pPr>
    <w:rPr>
      <w:rFonts w:ascii="Arial" w:eastAsia="Times New Roman" w:hAnsi="Arial" w:cs="Arial"/>
      <w:w w:val="100"/>
      <w:kern w:val="0"/>
      <w:lang w:eastAsia="en-AU"/>
    </w:rPr>
  </w:style>
  <w:style w:type="paragraph" w:styleId="MacroText">
    <w:name w:val="macro"/>
    <w:link w:val="MacroTextChar"/>
    <w:uiPriority w:val="99"/>
    <w:semiHidden/>
    <w:unhideWhenUsed/>
    <w:rsid w:val="00030303"/>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eastAsia="en-AU"/>
    </w:rPr>
  </w:style>
  <w:style w:type="character" w:customStyle="1" w:styleId="MacroTextChar">
    <w:name w:val="Macro Text Char"/>
    <w:basedOn w:val="DefaultParagraphFont"/>
    <w:link w:val="MacroText"/>
    <w:uiPriority w:val="99"/>
    <w:semiHidden/>
    <w:rsid w:val="00030303"/>
    <w:rPr>
      <w:rFonts w:ascii="Courier New" w:eastAsia="Times New Roman" w:hAnsi="Courier New" w:cs="Courier New"/>
      <w:sz w:val="20"/>
      <w:szCs w:val="20"/>
      <w:lang w:eastAsia="en-AU"/>
    </w:rPr>
  </w:style>
  <w:style w:type="table" w:customStyle="1" w:styleId="MediumGrid11">
    <w:name w:val="Medium Grid 11"/>
    <w:basedOn w:val="TableNormal"/>
    <w:next w:val="MediumGrid1"/>
    <w:uiPriority w:val="67"/>
    <w:rsid w:val="00030303"/>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1-Accent11">
    <w:name w:val="Medium Grid 1 - Accent 11"/>
    <w:basedOn w:val="TableNormal"/>
    <w:next w:val="MediumGrid1-Accent1"/>
    <w:uiPriority w:val="67"/>
    <w:rsid w:val="00030303"/>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1">
    <w:name w:val="Medium Grid 1 - Accent 21"/>
    <w:basedOn w:val="TableNormal"/>
    <w:next w:val="MediumGrid1-Accent2"/>
    <w:uiPriority w:val="67"/>
    <w:rsid w:val="00030303"/>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1">
    <w:name w:val="Medium Grid 1 - Accent 31"/>
    <w:basedOn w:val="TableNormal"/>
    <w:next w:val="MediumGrid1-Accent3"/>
    <w:uiPriority w:val="67"/>
    <w:rsid w:val="00030303"/>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1">
    <w:name w:val="Medium Grid 1 - Accent 41"/>
    <w:basedOn w:val="TableNormal"/>
    <w:next w:val="MediumGrid1-Accent4"/>
    <w:uiPriority w:val="67"/>
    <w:rsid w:val="00030303"/>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1">
    <w:name w:val="Medium Grid 1 - Accent 51"/>
    <w:basedOn w:val="TableNormal"/>
    <w:next w:val="MediumGrid1-Accent5"/>
    <w:uiPriority w:val="67"/>
    <w:rsid w:val="00030303"/>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1">
    <w:name w:val="Medium Grid 1 - Accent 61"/>
    <w:basedOn w:val="TableNormal"/>
    <w:next w:val="MediumGrid1-Accent6"/>
    <w:uiPriority w:val="67"/>
    <w:rsid w:val="00030303"/>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leNormal"/>
    <w:next w:val="MediumGrid2"/>
    <w:uiPriority w:val="68"/>
    <w:rsid w:val="00030303"/>
    <w:pPr>
      <w:spacing w:after="0" w:line="240" w:lineRule="auto"/>
    </w:pPr>
    <w:rPr>
      <w:rFonts w:ascii="Cambria" w:eastAsia="Times New Roman" w:hAnsi="Cambria" w:cs="Times New Roman"/>
      <w:color w:val="000000"/>
      <w:sz w:val="20"/>
      <w:szCs w:val="20"/>
      <w:lang w:eastAsia="en-A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1">
    <w:name w:val="Medium Grid 2 - Accent 11"/>
    <w:basedOn w:val="TableNormal"/>
    <w:next w:val="MediumGrid2-Accent1"/>
    <w:uiPriority w:val="68"/>
    <w:rsid w:val="00030303"/>
    <w:pPr>
      <w:spacing w:after="0" w:line="240" w:lineRule="auto"/>
    </w:pPr>
    <w:rPr>
      <w:rFonts w:ascii="Cambria" w:eastAsia="Times New Roman" w:hAnsi="Cambria" w:cs="Times New Roman"/>
      <w:color w:val="000000"/>
      <w:sz w:val="20"/>
      <w:szCs w:val="20"/>
      <w:lang w:eastAsia="en-A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1">
    <w:name w:val="Medium Grid 2 - Accent 21"/>
    <w:basedOn w:val="TableNormal"/>
    <w:next w:val="MediumGrid2-Accent2"/>
    <w:uiPriority w:val="68"/>
    <w:rsid w:val="00030303"/>
    <w:pPr>
      <w:spacing w:after="0" w:line="240" w:lineRule="auto"/>
    </w:pPr>
    <w:rPr>
      <w:rFonts w:ascii="Cambria" w:eastAsia="Times New Roman" w:hAnsi="Cambria" w:cs="Times New Roman"/>
      <w:color w:val="000000"/>
      <w:sz w:val="20"/>
      <w:szCs w:val="20"/>
      <w:lang w:eastAsia="en-AU"/>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1">
    <w:name w:val="Medium Grid 2 - Accent 31"/>
    <w:basedOn w:val="TableNormal"/>
    <w:next w:val="MediumGrid2-Accent3"/>
    <w:uiPriority w:val="68"/>
    <w:rsid w:val="00030303"/>
    <w:pPr>
      <w:spacing w:after="0" w:line="240" w:lineRule="auto"/>
    </w:pPr>
    <w:rPr>
      <w:rFonts w:ascii="Cambria" w:eastAsia="Times New Roman" w:hAnsi="Cambria" w:cs="Times New Roman"/>
      <w:color w:val="000000"/>
      <w:sz w:val="20"/>
      <w:szCs w:val="20"/>
      <w:lang w:eastAsia="en-A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1">
    <w:name w:val="Medium Grid 2 - Accent 41"/>
    <w:basedOn w:val="TableNormal"/>
    <w:next w:val="MediumGrid2-Accent4"/>
    <w:uiPriority w:val="68"/>
    <w:rsid w:val="00030303"/>
    <w:pPr>
      <w:spacing w:after="0" w:line="240" w:lineRule="auto"/>
    </w:pPr>
    <w:rPr>
      <w:rFonts w:ascii="Cambria" w:eastAsia="Times New Roman" w:hAnsi="Cambria" w:cs="Times New Roman"/>
      <w:color w:val="000000"/>
      <w:sz w:val="20"/>
      <w:szCs w:val="20"/>
      <w:lang w:eastAsia="en-A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1">
    <w:name w:val="Medium Grid 2 - Accent 51"/>
    <w:basedOn w:val="TableNormal"/>
    <w:next w:val="MediumGrid2-Accent5"/>
    <w:uiPriority w:val="68"/>
    <w:rsid w:val="00030303"/>
    <w:pPr>
      <w:spacing w:after="0" w:line="240" w:lineRule="auto"/>
    </w:pPr>
    <w:rPr>
      <w:rFonts w:ascii="Cambria" w:eastAsia="Times New Roman" w:hAnsi="Cambria" w:cs="Times New Roman"/>
      <w:color w:val="000000"/>
      <w:sz w:val="20"/>
      <w:szCs w:val="20"/>
      <w:lang w:eastAsia="en-AU"/>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1">
    <w:name w:val="Medium Grid 2 - Accent 61"/>
    <w:basedOn w:val="TableNormal"/>
    <w:next w:val="MediumGrid2-Accent6"/>
    <w:uiPriority w:val="68"/>
    <w:rsid w:val="00030303"/>
    <w:pPr>
      <w:spacing w:after="0" w:line="240" w:lineRule="auto"/>
    </w:pPr>
    <w:rPr>
      <w:rFonts w:ascii="Cambria" w:eastAsia="Times New Roman" w:hAnsi="Cambria" w:cs="Times New Roman"/>
      <w:color w:val="000000"/>
      <w:sz w:val="20"/>
      <w:szCs w:val="20"/>
      <w:lang w:eastAsia="en-AU"/>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TableNormal"/>
    <w:next w:val="MediumGrid3"/>
    <w:uiPriority w:val="69"/>
    <w:rsid w:val="00030303"/>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1">
    <w:name w:val="Medium Grid 3 - Accent 11"/>
    <w:basedOn w:val="TableNormal"/>
    <w:next w:val="MediumGrid3-Accent1"/>
    <w:uiPriority w:val="69"/>
    <w:rsid w:val="00030303"/>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1">
    <w:name w:val="Medium Grid 3 - Accent 21"/>
    <w:basedOn w:val="TableNormal"/>
    <w:next w:val="MediumGrid3-Accent2"/>
    <w:uiPriority w:val="69"/>
    <w:rsid w:val="00030303"/>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1">
    <w:name w:val="Medium Grid 3 - Accent 31"/>
    <w:basedOn w:val="TableNormal"/>
    <w:next w:val="MediumGrid3-Accent3"/>
    <w:uiPriority w:val="69"/>
    <w:rsid w:val="00030303"/>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1">
    <w:name w:val="Medium Grid 3 - Accent 41"/>
    <w:basedOn w:val="TableNormal"/>
    <w:next w:val="MediumGrid3-Accent4"/>
    <w:uiPriority w:val="69"/>
    <w:rsid w:val="00030303"/>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1">
    <w:name w:val="Medium Grid 3 - Accent 51"/>
    <w:basedOn w:val="TableNormal"/>
    <w:next w:val="MediumGrid3-Accent5"/>
    <w:uiPriority w:val="69"/>
    <w:rsid w:val="00030303"/>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1">
    <w:name w:val="Medium Grid 3 - Accent 61"/>
    <w:basedOn w:val="TableNormal"/>
    <w:next w:val="MediumGrid3-Accent6"/>
    <w:uiPriority w:val="69"/>
    <w:rsid w:val="00030303"/>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TableNormal"/>
    <w:next w:val="MediumList1"/>
    <w:uiPriority w:val="65"/>
    <w:rsid w:val="00030303"/>
    <w:pPr>
      <w:spacing w:after="0" w:line="240" w:lineRule="auto"/>
    </w:pPr>
    <w:rPr>
      <w:rFonts w:ascii="Times New Roman" w:eastAsia="Times New Roman" w:hAnsi="Times New Roman" w:cs="Times New Roman"/>
      <w:color w:val="000000"/>
      <w:sz w:val="20"/>
      <w:szCs w:val="20"/>
      <w:lang w:eastAsia="en-A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next w:val="MediumList1-Accent1"/>
    <w:uiPriority w:val="65"/>
    <w:rsid w:val="00030303"/>
    <w:pPr>
      <w:spacing w:after="0" w:line="240" w:lineRule="auto"/>
    </w:pPr>
    <w:rPr>
      <w:rFonts w:ascii="Times New Roman" w:eastAsia="Times New Roman" w:hAnsi="Times New Roman" w:cs="Times New Roman"/>
      <w:color w:val="000000"/>
      <w:sz w:val="20"/>
      <w:szCs w:val="20"/>
      <w:lang w:eastAsia="en-AU"/>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1">
    <w:name w:val="Medium List 1 - Accent 21"/>
    <w:basedOn w:val="TableNormal"/>
    <w:next w:val="MediumList1-Accent2"/>
    <w:uiPriority w:val="65"/>
    <w:rsid w:val="00030303"/>
    <w:pPr>
      <w:spacing w:after="0" w:line="240" w:lineRule="auto"/>
    </w:pPr>
    <w:rPr>
      <w:rFonts w:ascii="Times New Roman" w:eastAsia="Times New Roman" w:hAnsi="Times New Roman" w:cs="Times New Roman"/>
      <w:color w:val="000000"/>
      <w:sz w:val="20"/>
      <w:szCs w:val="20"/>
      <w:lang w:eastAsia="en-AU"/>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1">
    <w:name w:val="Medium List 1 - Accent 31"/>
    <w:basedOn w:val="TableNormal"/>
    <w:next w:val="MediumList1-Accent3"/>
    <w:uiPriority w:val="65"/>
    <w:rsid w:val="00030303"/>
    <w:pPr>
      <w:spacing w:after="0" w:line="240" w:lineRule="auto"/>
    </w:pPr>
    <w:rPr>
      <w:rFonts w:ascii="Times New Roman" w:eastAsia="Times New Roman" w:hAnsi="Times New Roman" w:cs="Times New Roman"/>
      <w:color w:val="000000"/>
      <w:sz w:val="20"/>
      <w:szCs w:val="20"/>
      <w:lang w:eastAsia="en-AU"/>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1">
    <w:name w:val="Medium List 1 - Accent 41"/>
    <w:basedOn w:val="TableNormal"/>
    <w:next w:val="MediumList1-Accent4"/>
    <w:uiPriority w:val="65"/>
    <w:rsid w:val="00030303"/>
    <w:pPr>
      <w:spacing w:after="0" w:line="240" w:lineRule="auto"/>
    </w:pPr>
    <w:rPr>
      <w:rFonts w:ascii="Times New Roman" w:eastAsia="Times New Roman" w:hAnsi="Times New Roman" w:cs="Times New Roman"/>
      <w:color w:val="000000"/>
      <w:sz w:val="20"/>
      <w:szCs w:val="20"/>
      <w:lang w:eastAsia="en-AU"/>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1">
    <w:name w:val="Medium List 1 - Accent 51"/>
    <w:basedOn w:val="TableNormal"/>
    <w:next w:val="MediumList1-Accent5"/>
    <w:uiPriority w:val="65"/>
    <w:rsid w:val="00030303"/>
    <w:pPr>
      <w:spacing w:after="0" w:line="240" w:lineRule="auto"/>
    </w:pPr>
    <w:rPr>
      <w:rFonts w:ascii="Times New Roman" w:eastAsia="Times New Roman" w:hAnsi="Times New Roman" w:cs="Times New Roman"/>
      <w:color w:val="000000"/>
      <w:sz w:val="20"/>
      <w:szCs w:val="20"/>
      <w:lang w:eastAsia="en-AU"/>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1">
    <w:name w:val="Medium List 1 - Accent 61"/>
    <w:basedOn w:val="TableNormal"/>
    <w:next w:val="MediumList1-Accent6"/>
    <w:uiPriority w:val="65"/>
    <w:rsid w:val="00030303"/>
    <w:pPr>
      <w:spacing w:after="0" w:line="240" w:lineRule="auto"/>
    </w:pPr>
    <w:rPr>
      <w:rFonts w:ascii="Times New Roman" w:eastAsia="Times New Roman" w:hAnsi="Times New Roman" w:cs="Times New Roman"/>
      <w:color w:val="000000"/>
      <w:sz w:val="20"/>
      <w:szCs w:val="20"/>
      <w:lang w:eastAsia="en-AU"/>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leNormal"/>
    <w:next w:val="MediumList2"/>
    <w:uiPriority w:val="66"/>
    <w:rsid w:val="00030303"/>
    <w:pPr>
      <w:spacing w:after="0" w:line="240" w:lineRule="auto"/>
    </w:pPr>
    <w:rPr>
      <w:rFonts w:ascii="Cambria" w:eastAsia="Times New Roman" w:hAnsi="Cambria" w:cs="Times New Roman"/>
      <w:color w:val="000000"/>
      <w:sz w:val="20"/>
      <w:szCs w:val="20"/>
      <w:lang w:eastAsia="en-A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1">
    <w:name w:val="Medium List 2 - Accent 11"/>
    <w:basedOn w:val="TableNormal"/>
    <w:next w:val="MediumList2-Accent1"/>
    <w:uiPriority w:val="66"/>
    <w:rsid w:val="00030303"/>
    <w:pPr>
      <w:spacing w:after="0" w:line="240" w:lineRule="auto"/>
    </w:pPr>
    <w:rPr>
      <w:rFonts w:ascii="Cambria" w:eastAsia="Times New Roman" w:hAnsi="Cambria" w:cs="Times New Roman"/>
      <w:color w:val="000000"/>
      <w:sz w:val="20"/>
      <w:szCs w:val="20"/>
      <w:lang w:eastAsia="en-AU"/>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1">
    <w:name w:val="Medium List 2 - Accent 21"/>
    <w:basedOn w:val="TableNormal"/>
    <w:next w:val="MediumList2-Accent2"/>
    <w:uiPriority w:val="66"/>
    <w:rsid w:val="00030303"/>
    <w:pPr>
      <w:spacing w:after="0" w:line="240" w:lineRule="auto"/>
    </w:pPr>
    <w:rPr>
      <w:rFonts w:ascii="Cambria" w:eastAsia="Times New Roman" w:hAnsi="Cambria" w:cs="Times New Roman"/>
      <w:color w:val="000000"/>
      <w:sz w:val="20"/>
      <w:szCs w:val="20"/>
      <w:lang w:eastAsia="en-AU"/>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1">
    <w:name w:val="Medium List 2 - Accent 31"/>
    <w:basedOn w:val="TableNormal"/>
    <w:next w:val="MediumList2-Accent3"/>
    <w:uiPriority w:val="66"/>
    <w:rsid w:val="00030303"/>
    <w:pPr>
      <w:spacing w:after="0" w:line="240" w:lineRule="auto"/>
    </w:pPr>
    <w:rPr>
      <w:rFonts w:ascii="Cambria" w:eastAsia="Times New Roman" w:hAnsi="Cambria" w:cs="Times New Roman"/>
      <w:color w:val="000000"/>
      <w:sz w:val="20"/>
      <w:szCs w:val="20"/>
      <w:lang w:eastAsia="en-AU"/>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1">
    <w:name w:val="Medium List 2 - Accent 41"/>
    <w:basedOn w:val="TableNormal"/>
    <w:next w:val="MediumList2-Accent4"/>
    <w:uiPriority w:val="66"/>
    <w:rsid w:val="00030303"/>
    <w:pPr>
      <w:spacing w:after="0" w:line="240" w:lineRule="auto"/>
    </w:pPr>
    <w:rPr>
      <w:rFonts w:ascii="Cambria" w:eastAsia="Times New Roman" w:hAnsi="Cambria" w:cs="Times New Roman"/>
      <w:color w:val="000000"/>
      <w:sz w:val="20"/>
      <w:szCs w:val="20"/>
      <w:lang w:eastAsia="en-AU"/>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1">
    <w:name w:val="Medium List 2 - Accent 51"/>
    <w:basedOn w:val="TableNormal"/>
    <w:next w:val="MediumList2-Accent5"/>
    <w:uiPriority w:val="66"/>
    <w:rsid w:val="00030303"/>
    <w:pPr>
      <w:spacing w:after="0" w:line="240" w:lineRule="auto"/>
    </w:pPr>
    <w:rPr>
      <w:rFonts w:ascii="Cambria" w:eastAsia="Times New Roman" w:hAnsi="Cambria" w:cs="Times New Roman"/>
      <w:color w:val="000000"/>
      <w:sz w:val="20"/>
      <w:szCs w:val="20"/>
      <w:lang w:eastAsia="en-A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1">
    <w:name w:val="Medium List 2 - Accent 61"/>
    <w:basedOn w:val="TableNormal"/>
    <w:next w:val="MediumList2-Accent6"/>
    <w:uiPriority w:val="66"/>
    <w:rsid w:val="00030303"/>
    <w:pPr>
      <w:spacing w:after="0" w:line="240" w:lineRule="auto"/>
    </w:pPr>
    <w:rPr>
      <w:rFonts w:ascii="Cambria" w:eastAsia="Times New Roman" w:hAnsi="Cambria" w:cs="Times New Roman"/>
      <w:color w:val="000000"/>
      <w:sz w:val="20"/>
      <w:szCs w:val="20"/>
      <w:lang w:eastAsia="en-A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Normal"/>
    <w:next w:val="MediumShading1"/>
    <w:uiPriority w:val="63"/>
    <w:rsid w:val="00030303"/>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next w:val="MediumShading1-Accent1"/>
    <w:uiPriority w:val="63"/>
    <w:rsid w:val="00030303"/>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1">
    <w:name w:val="Medium Shading 1 - Accent 21"/>
    <w:basedOn w:val="TableNormal"/>
    <w:next w:val="MediumShading1-Accent2"/>
    <w:uiPriority w:val="63"/>
    <w:rsid w:val="00030303"/>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1">
    <w:name w:val="Medium Shading 1 - Accent 31"/>
    <w:basedOn w:val="TableNormal"/>
    <w:next w:val="MediumShading1-Accent3"/>
    <w:uiPriority w:val="63"/>
    <w:rsid w:val="00030303"/>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1">
    <w:name w:val="Medium Shading 1 - Accent 41"/>
    <w:basedOn w:val="TableNormal"/>
    <w:next w:val="MediumShading1-Accent4"/>
    <w:uiPriority w:val="63"/>
    <w:rsid w:val="00030303"/>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1">
    <w:name w:val="Medium Shading 1 - Accent 51"/>
    <w:basedOn w:val="TableNormal"/>
    <w:next w:val="MediumShading1-Accent5"/>
    <w:uiPriority w:val="63"/>
    <w:rsid w:val="00030303"/>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1">
    <w:name w:val="Medium Shading 1 - Accent 61"/>
    <w:basedOn w:val="TableNormal"/>
    <w:next w:val="MediumShading1-Accent6"/>
    <w:uiPriority w:val="63"/>
    <w:rsid w:val="00030303"/>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leNormal"/>
    <w:next w:val="MediumShading2"/>
    <w:uiPriority w:val="64"/>
    <w:rsid w:val="00030303"/>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next w:val="MediumShading2-Accent1"/>
    <w:uiPriority w:val="64"/>
    <w:rsid w:val="00030303"/>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1">
    <w:name w:val="Medium Shading 2 - Accent 21"/>
    <w:basedOn w:val="TableNormal"/>
    <w:next w:val="MediumShading2-Accent2"/>
    <w:uiPriority w:val="64"/>
    <w:rsid w:val="00030303"/>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
    <w:name w:val="Medium Shading 2 - Accent 31"/>
    <w:basedOn w:val="TableNormal"/>
    <w:next w:val="MediumShading2-Accent3"/>
    <w:uiPriority w:val="64"/>
    <w:rsid w:val="00030303"/>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
    <w:name w:val="Medium Shading 2 - Accent 41"/>
    <w:basedOn w:val="TableNormal"/>
    <w:next w:val="MediumShading2-Accent4"/>
    <w:uiPriority w:val="64"/>
    <w:rsid w:val="00030303"/>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
    <w:name w:val="Medium Shading 2 - Accent 51"/>
    <w:basedOn w:val="TableNormal"/>
    <w:next w:val="MediumShading2-Accent5"/>
    <w:uiPriority w:val="64"/>
    <w:rsid w:val="00030303"/>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
    <w:name w:val="Medium Shading 2 - Accent 61"/>
    <w:basedOn w:val="TableNormal"/>
    <w:next w:val="MediumShading2-Accent6"/>
    <w:uiPriority w:val="64"/>
    <w:rsid w:val="00030303"/>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MessageHeader1">
    <w:name w:val="Message Header1"/>
    <w:basedOn w:val="Normal"/>
    <w:next w:val="MessageHeader"/>
    <w:uiPriority w:val="99"/>
    <w:semiHidden/>
    <w:unhideWhenUsed/>
    <w:rsid w:val="0003030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s="Times New Roman"/>
      <w:w w:val="100"/>
      <w:kern w:val="0"/>
      <w:sz w:val="24"/>
      <w:szCs w:val="24"/>
      <w:lang w:eastAsia="en-AU"/>
    </w:rPr>
  </w:style>
  <w:style w:type="paragraph" w:styleId="NoSpacing">
    <w:name w:val="No Spacing"/>
    <w:uiPriority w:val="98"/>
    <w:rsid w:val="00030303"/>
    <w:pPr>
      <w:spacing w:after="0" w:line="240" w:lineRule="auto"/>
    </w:pPr>
    <w:rPr>
      <w:rFonts w:ascii="Arial" w:eastAsia="Times New Roman" w:hAnsi="Arial" w:cs="Arial"/>
      <w:lang w:eastAsia="en-AU"/>
    </w:rPr>
  </w:style>
  <w:style w:type="paragraph" w:styleId="NormalIndent">
    <w:name w:val="Normal Indent"/>
    <w:basedOn w:val="Normal"/>
    <w:uiPriority w:val="99"/>
    <w:semiHidden/>
    <w:unhideWhenUsed/>
    <w:rsid w:val="00030303"/>
    <w:pPr>
      <w:spacing w:after="0" w:line="240" w:lineRule="auto"/>
      <w:ind w:left="720"/>
    </w:pPr>
    <w:rPr>
      <w:rFonts w:ascii="Arial" w:eastAsia="Times New Roman" w:hAnsi="Arial" w:cs="Arial"/>
      <w:w w:val="100"/>
      <w:kern w:val="0"/>
      <w:lang w:eastAsia="en-AU"/>
    </w:rPr>
  </w:style>
  <w:style w:type="paragraph" w:styleId="NoteHeading">
    <w:name w:val="Note Heading"/>
    <w:basedOn w:val="Normal"/>
    <w:next w:val="Normal"/>
    <w:link w:val="NoteHeadingChar"/>
    <w:uiPriority w:val="99"/>
    <w:semiHidden/>
    <w:unhideWhenUsed/>
    <w:rsid w:val="00030303"/>
    <w:pPr>
      <w:spacing w:after="0" w:line="240" w:lineRule="auto"/>
    </w:pPr>
    <w:rPr>
      <w:rFonts w:ascii="Arial" w:eastAsia="Times New Roman" w:hAnsi="Arial" w:cs="Arial"/>
      <w:w w:val="100"/>
      <w:kern w:val="0"/>
      <w:lang w:eastAsia="en-AU"/>
    </w:rPr>
  </w:style>
  <w:style w:type="character" w:customStyle="1" w:styleId="NoteHeadingChar">
    <w:name w:val="Note Heading Char"/>
    <w:basedOn w:val="DefaultParagraphFont"/>
    <w:link w:val="NoteHeading"/>
    <w:uiPriority w:val="99"/>
    <w:semiHidden/>
    <w:rsid w:val="00030303"/>
    <w:rPr>
      <w:rFonts w:ascii="Arial" w:eastAsia="Times New Roman" w:hAnsi="Arial" w:cs="Arial"/>
      <w:lang w:eastAsia="en-AU"/>
    </w:rPr>
  </w:style>
  <w:style w:type="character" w:styleId="PlaceholderText">
    <w:name w:val="Placeholder Text"/>
    <w:basedOn w:val="DefaultParagraphFont"/>
    <w:uiPriority w:val="99"/>
    <w:semiHidden/>
    <w:rsid w:val="00030303"/>
    <w:rPr>
      <w:color w:val="808080"/>
    </w:rPr>
  </w:style>
  <w:style w:type="paragraph" w:styleId="PlainText">
    <w:name w:val="Plain Text"/>
    <w:basedOn w:val="Normal"/>
    <w:link w:val="PlainTextChar"/>
    <w:uiPriority w:val="99"/>
    <w:semiHidden/>
    <w:unhideWhenUsed/>
    <w:rsid w:val="00030303"/>
    <w:pPr>
      <w:spacing w:after="0" w:line="240" w:lineRule="auto"/>
    </w:pPr>
    <w:rPr>
      <w:rFonts w:ascii="Courier New" w:eastAsia="Times New Roman" w:hAnsi="Courier New" w:cs="Courier New"/>
      <w:w w:val="100"/>
      <w:kern w:val="0"/>
      <w:sz w:val="20"/>
      <w:szCs w:val="20"/>
      <w:lang w:eastAsia="en-AU"/>
    </w:rPr>
  </w:style>
  <w:style w:type="character" w:customStyle="1" w:styleId="PlainTextChar">
    <w:name w:val="Plain Text Char"/>
    <w:basedOn w:val="DefaultParagraphFont"/>
    <w:link w:val="PlainText"/>
    <w:uiPriority w:val="99"/>
    <w:semiHidden/>
    <w:rsid w:val="00030303"/>
    <w:rPr>
      <w:rFonts w:ascii="Courier New" w:eastAsia="Times New Roman" w:hAnsi="Courier New" w:cs="Courier New"/>
      <w:sz w:val="20"/>
      <w:szCs w:val="20"/>
      <w:lang w:eastAsia="en-AU"/>
    </w:rPr>
  </w:style>
  <w:style w:type="paragraph" w:customStyle="1" w:styleId="Quote1">
    <w:name w:val="Quote1"/>
    <w:basedOn w:val="Normal"/>
    <w:next w:val="Normal"/>
    <w:uiPriority w:val="98"/>
    <w:semiHidden/>
    <w:rsid w:val="00030303"/>
    <w:pPr>
      <w:spacing w:after="0" w:line="240" w:lineRule="auto"/>
    </w:pPr>
    <w:rPr>
      <w:rFonts w:ascii="Arial" w:eastAsia="Times New Roman" w:hAnsi="Arial" w:cs="Arial"/>
      <w:i/>
      <w:iCs/>
      <w:color w:val="000000"/>
      <w:w w:val="100"/>
      <w:kern w:val="0"/>
      <w:lang w:eastAsia="en-AU"/>
    </w:rPr>
  </w:style>
  <w:style w:type="paragraph" w:styleId="Salutation">
    <w:name w:val="Salutation"/>
    <w:basedOn w:val="Normal"/>
    <w:next w:val="Normal"/>
    <w:link w:val="SalutationChar"/>
    <w:uiPriority w:val="99"/>
    <w:semiHidden/>
    <w:rsid w:val="00030303"/>
    <w:pPr>
      <w:spacing w:after="0" w:line="240" w:lineRule="auto"/>
    </w:pPr>
    <w:rPr>
      <w:rFonts w:ascii="Arial" w:eastAsia="Times New Roman" w:hAnsi="Arial" w:cs="Arial"/>
      <w:w w:val="100"/>
      <w:kern w:val="0"/>
      <w:lang w:eastAsia="en-AU"/>
    </w:rPr>
  </w:style>
  <w:style w:type="character" w:customStyle="1" w:styleId="SalutationChar">
    <w:name w:val="Salutation Char"/>
    <w:basedOn w:val="DefaultParagraphFont"/>
    <w:link w:val="Salutation"/>
    <w:uiPriority w:val="99"/>
    <w:semiHidden/>
    <w:rsid w:val="00030303"/>
    <w:rPr>
      <w:rFonts w:ascii="Arial" w:eastAsia="Times New Roman" w:hAnsi="Arial" w:cs="Arial"/>
      <w:lang w:eastAsia="en-AU"/>
    </w:rPr>
  </w:style>
  <w:style w:type="paragraph" w:styleId="Signature">
    <w:name w:val="Signature"/>
    <w:basedOn w:val="Normal"/>
    <w:link w:val="SignatureChar"/>
    <w:uiPriority w:val="99"/>
    <w:semiHidden/>
    <w:unhideWhenUsed/>
    <w:rsid w:val="00030303"/>
    <w:pPr>
      <w:spacing w:after="0" w:line="240" w:lineRule="auto"/>
      <w:ind w:left="4252"/>
    </w:pPr>
    <w:rPr>
      <w:rFonts w:ascii="Arial" w:eastAsia="Times New Roman" w:hAnsi="Arial" w:cs="Arial"/>
      <w:w w:val="100"/>
      <w:kern w:val="0"/>
      <w:lang w:eastAsia="en-AU"/>
    </w:rPr>
  </w:style>
  <w:style w:type="character" w:customStyle="1" w:styleId="SignatureChar">
    <w:name w:val="Signature Char"/>
    <w:basedOn w:val="DefaultParagraphFont"/>
    <w:link w:val="Signature"/>
    <w:uiPriority w:val="99"/>
    <w:semiHidden/>
    <w:rsid w:val="00030303"/>
    <w:rPr>
      <w:rFonts w:ascii="Arial" w:eastAsia="Times New Roman" w:hAnsi="Arial" w:cs="Arial"/>
      <w:lang w:eastAsia="en-AU"/>
    </w:rPr>
  </w:style>
  <w:style w:type="character" w:styleId="Strong">
    <w:name w:val="Strong"/>
    <w:basedOn w:val="DefaultParagraphFont"/>
    <w:uiPriority w:val="98"/>
    <w:rsid w:val="00030303"/>
    <w:rPr>
      <w:b/>
      <w:bCs/>
    </w:rPr>
  </w:style>
  <w:style w:type="paragraph" w:customStyle="1" w:styleId="Subtitle1">
    <w:name w:val="Subtitle1"/>
    <w:basedOn w:val="Normal"/>
    <w:next w:val="Normal"/>
    <w:uiPriority w:val="98"/>
    <w:semiHidden/>
    <w:rsid w:val="00030303"/>
    <w:pPr>
      <w:spacing w:after="60" w:line="240" w:lineRule="auto"/>
      <w:jc w:val="center"/>
      <w:outlineLvl w:val="1"/>
    </w:pPr>
    <w:rPr>
      <w:rFonts w:ascii="Cambria" w:eastAsia="Times New Roman" w:hAnsi="Cambria" w:cs="Times New Roman"/>
      <w:w w:val="100"/>
      <w:kern w:val="0"/>
      <w:sz w:val="24"/>
      <w:szCs w:val="24"/>
      <w:lang w:eastAsia="en-AU"/>
    </w:rPr>
  </w:style>
  <w:style w:type="character" w:customStyle="1" w:styleId="SubtleEmphasis1">
    <w:name w:val="Subtle Emphasis1"/>
    <w:basedOn w:val="DefaultParagraphFont"/>
    <w:uiPriority w:val="98"/>
    <w:semiHidden/>
    <w:rsid w:val="00030303"/>
    <w:rPr>
      <w:i/>
      <w:iCs/>
      <w:color w:val="808080"/>
    </w:rPr>
  </w:style>
  <w:style w:type="character" w:customStyle="1" w:styleId="SubtleReference1">
    <w:name w:val="Subtle Reference1"/>
    <w:basedOn w:val="DefaultParagraphFont"/>
    <w:uiPriority w:val="98"/>
    <w:semiHidden/>
    <w:rsid w:val="00030303"/>
    <w:rPr>
      <w:smallCaps/>
      <w:color w:val="C0504D"/>
      <w:u w:val="single"/>
    </w:rPr>
  </w:style>
  <w:style w:type="table" w:styleId="Table3Deffects1">
    <w:name w:val="Table 3D effects 1"/>
    <w:basedOn w:val="TableNormal"/>
    <w:uiPriority w:val="99"/>
    <w:semiHidden/>
    <w:unhideWhenUsed/>
    <w:rsid w:val="00030303"/>
    <w:pPr>
      <w:spacing w:after="0" w:line="240" w:lineRule="auto"/>
    </w:pPr>
    <w:rPr>
      <w:rFonts w:ascii="Times New Roman" w:eastAsia="Times New Roman" w:hAnsi="Times New Roman" w:cs="Times New Roman"/>
      <w:sz w:val="20"/>
      <w:szCs w:val="20"/>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30303"/>
    <w:pPr>
      <w:spacing w:after="0" w:line="240" w:lineRule="auto"/>
    </w:pPr>
    <w:rPr>
      <w:rFonts w:ascii="Times New Roman" w:eastAsia="Times New Roman" w:hAnsi="Times New Roman" w:cs="Times New Roman"/>
      <w:sz w:val="20"/>
      <w:szCs w:val="20"/>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30303"/>
    <w:pPr>
      <w:spacing w:after="0" w:line="240" w:lineRule="auto"/>
    </w:pPr>
    <w:rPr>
      <w:rFonts w:ascii="Times New Roman" w:eastAsia="Times New Roman" w:hAnsi="Times New Roman" w:cs="Times New Roman"/>
      <w:sz w:val="20"/>
      <w:szCs w:val="20"/>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30303"/>
    <w:pPr>
      <w:spacing w:after="0" w:line="240" w:lineRule="auto"/>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30303"/>
    <w:pPr>
      <w:spacing w:after="0" w:line="240" w:lineRule="auto"/>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30303"/>
    <w:pPr>
      <w:spacing w:after="0" w:line="240" w:lineRule="auto"/>
    </w:pPr>
    <w:rPr>
      <w:rFonts w:ascii="Times New Roman" w:eastAsia="Times New Roman" w:hAnsi="Times New Roman"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30303"/>
    <w:pPr>
      <w:spacing w:after="0" w:line="240" w:lineRule="auto"/>
    </w:pPr>
    <w:rPr>
      <w:rFonts w:ascii="Times New Roman" w:eastAsia="Times New Roman" w:hAnsi="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30303"/>
    <w:pPr>
      <w:spacing w:after="0" w:line="240" w:lineRule="auto"/>
    </w:pPr>
    <w:rPr>
      <w:rFonts w:ascii="Times New Roman" w:eastAsia="Times New Roman" w:hAnsi="Times New Roman" w:cs="Times New Roman"/>
      <w:color w:val="FFFFFF"/>
      <w:sz w:val="20"/>
      <w:szCs w:val="20"/>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30303"/>
    <w:pPr>
      <w:spacing w:after="0" w:line="240" w:lineRule="auto"/>
    </w:pPr>
    <w:rPr>
      <w:rFonts w:ascii="Times New Roman" w:eastAsia="Times New Roman" w:hAnsi="Times New Roman" w:cs="Times New Roman"/>
      <w:sz w:val="20"/>
      <w:szCs w:val="20"/>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30303"/>
    <w:pPr>
      <w:spacing w:after="0" w:line="240" w:lineRule="auto"/>
    </w:pPr>
    <w:rPr>
      <w:rFonts w:ascii="Times New Roman" w:eastAsia="Times New Roman" w:hAnsi="Times New Roman"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30303"/>
    <w:pPr>
      <w:spacing w:after="0" w:line="240" w:lineRule="auto"/>
    </w:pPr>
    <w:rPr>
      <w:rFonts w:ascii="Times New Roman" w:eastAsia="Times New Roman" w:hAnsi="Times New Roman" w:cs="Times New Roman"/>
      <w:b/>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30303"/>
    <w:pPr>
      <w:spacing w:after="0" w:line="240" w:lineRule="auto"/>
    </w:pPr>
    <w:rPr>
      <w:rFonts w:ascii="Times New Roman" w:eastAsia="Times New Roman" w:hAnsi="Times New Roman" w:cs="Times New Roman"/>
      <w:b/>
      <w:bCs/>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30303"/>
    <w:pPr>
      <w:spacing w:after="0" w:line="240" w:lineRule="auto"/>
    </w:pPr>
    <w:rPr>
      <w:rFonts w:ascii="Times New Roman" w:eastAsia="Times New Roman" w:hAnsi="Times New Roman" w:cs="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30303"/>
    <w:pPr>
      <w:spacing w:after="0" w:line="240" w:lineRule="auto"/>
    </w:pPr>
    <w:rPr>
      <w:rFonts w:ascii="Times New Roman" w:eastAsia="Times New Roman" w:hAnsi="Times New Roman" w:cs="Times New Roman"/>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30303"/>
    <w:pPr>
      <w:spacing w:after="0" w:line="240" w:lineRule="auto"/>
    </w:pPr>
    <w:rPr>
      <w:rFonts w:ascii="Times New Roman" w:eastAsia="Times New Roman" w:hAnsi="Times New Roman"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30303"/>
    <w:pPr>
      <w:spacing w:after="0" w:line="240" w:lineRule="auto"/>
    </w:pPr>
    <w:rPr>
      <w:rFonts w:ascii="Times New Roman" w:eastAsia="Times New Roman" w:hAnsi="Times New Roman" w:cs="Times New Roman"/>
      <w:sz w:val="20"/>
      <w:szCs w:val="20"/>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30303"/>
    <w:pPr>
      <w:spacing w:after="0" w:line="240" w:lineRule="auto"/>
    </w:pPr>
    <w:rPr>
      <w:rFonts w:ascii="Times New Roman" w:eastAsia="Times New Roman"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uiPriority w:val="99"/>
    <w:semiHidden/>
    <w:unhideWhenUsed/>
    <w:rsid w:val="00030303"/>
    <w:pPr>
      <w:spacing w:after="0" w:line="240" w:lineRule="auto"/>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uiPriority w:val="99"/>
    <w:semiHidden/>
    <w:unhideWhenUsed/>
    <w:rsid w:val="00030303"/>
    <w:pPr>
      <w:spacing w:after="0" w:line="240" w:lineRule="auto"/>
    </w:pPr>
    <w:rPr>
      <w:rFonts w:ascii="Times New Roman" w:eastAsia="Times New Roman" w:hAnsi="Times New Roman" w:cs="Times New Roman"/>
      <w:sz w:val="20"/>
      <w:szCs w:val="20"/>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uiPriority w:val="99"/>
    <w:semiHidden/>
    <w:unhideWhenUsed/>
    <w:rsid w:val="00030303"/>
    <w:pPr>
      <w:spacing w:after="0" w:line="240" w:lineRule="auto"/>
    </w:pPr>
    <w:rPr>
      <w:rFonts w:ascii="Times New Roman" w:eastAsia="Times New Roman" w:hAnsi="Times New Roman" w:cs="Times New Roman"/>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30303"/>
    <w:pPr>
      <w:spacing w:after="0" w:line="240" w:lineRule="auto"/>
    </w:pPr>
    <w:rPr>
      <w:rFonts w:ascii="Times New Roman" w:eastAsia="Times New Roman" w:hAnsi="Times New Roman" w:cs="Times New Roman"/>
      <w:sz w:val="20"/>
      <w:szCs w:val="20"/>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30303"/>
    <w:pPr>
      <w:spacing w:after="0" w:line="240" w:lineRule="auto"/>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30303"/>
    <w:pPr>
      <w:spacing w:after="0" w:line="240" w:lineRule="auto"/>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30303"/>
    <w:pPr>
      <w:spacing w:after="0" w:line="240" w:lineRule="auto"/>
    </w:pPr>
    <w:rPr>
      <w:rFonts w:ascii="Times New Roman" w:eastAsia="Times New Roman" w:hAnsi="Times New Roman"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30303"/>
    <w:pPr>
      <w:spacing w:after="0" w:line="240" w:lineRule="auto"/>
    </w:pPr>
    <w:rPr>
      <w:rFonts w:ascii="Times New Roman" w:eastAsia="Times New Roman" w:hAnsi="Times New Roman"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030303"/>
    <w:pPr>
      <w:spacing w:after="0" w:line="240" w:lineRule="auto"/>
    </w:pPr>
    <w:rPr>
      <w:rFonts w:ascii="Times New Roman" w:eastAsia="Times New Roman" w:hAnsi="Times New Roman" w:cs="Times New Roman"/>
      <w:sz w:val="20"/>
      <w:szCs w:val="20"/>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30303"/>
    <w:pPr>
      <w:spacing w:after="0" w:line="240" w:lineRule="auto"/>
    </w:pPr>
    <w:rPr>
      <w:rFonts w:ascii="Times New Roman" w:eastAsia="Times New Roman" w:hAnsi="Times New Roman" w:cs="Times New Roman"/>
      <w:sz w:val="20"/>
      <w:szCs w:val="20"/>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30303"/>
    <w:pPr>
      <w:spacing w:after="0" w:line="240" w:lineRule="auto"/>
    </w:pPr>
    <w:rPr>
      <w:rFonts w:ascii="Times New Roman" w:eastAsia="Times New Roman" w:hAnsi="Times New Roman" w:cs="Times New Roman"/>
      <w:sz w:val="20"/>
      <w:szCs w:val="20"/>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30303"/>
    <w:pPr>
      <w:spacing w:after="0" w:line="240" w:lineRule="auto"/>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30303"/>
    <w:pPr>
      <w:spacing w:after="0" w:line="240" w:lineRule="auto"/>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30303"/>
    <w:pPr>
      <w:spacing w:after="0" w:line="240" w:lineRule="auto"/>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30303"/>
    <w:pPr>
      <w:spacing w:after="0" w:line="240" w:lineRule="auto"/>
    </w:pPr>
    <w:rPr>
      <w:rFonts w:ascii="Times New Roman" w:eastAsia="Times New Roman" w:hAnsi="Times New Roman" w:cs="Times New Roman"/>
      <w:sz w:val="20"/>
      <w:szCs w:val="20"/>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30303"/>
    <w:pPr>
      <w:spacing w:after="0" w:line="240" w:lineRule="auto"/>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030303"/>
    <w:pPr>
      <w:spacing w:after="0" w:line="240" w:lineRule="auto"/>
      <w:ind w:left="220" w:hanging="220"/>
    </w:pPr>
    <w:rPr>
      <w:rFonts w:ascii="Arial" w:eastAsia="Times New Roman" w:hAnsi="Arial" w:cs="Arial"/>
      <w:w w:val="100"/>
      <w:kern w:val="0"/>
      <w:lang w:eastAsia="en-AU"/>
    </w:rPr>
  </w:style>
  <w:style w:type="paragraph" w:styleId="TableofFigures">
    <w:name w:val="table of figures"/>
    <w:basedOn w:val="Normal"/>
    <w:next w:val="Normal"/>
    <w:uiPriority w:val="99"/>
    <w:semiHidden/>
    <w:unhideWhenUsed/>
    <w:rsid w:val="00030303"/>
    <w:pPr>
      <w:spacing w:after="0" w:line="240" w:lineRule="auto"/>
    </w:pPr>
    <w:rPr>
      <w:rFonts w:ascii="Arial" w:eastAsia="Times New Roman" w:hAnsi="Arial" w:cs="Arial"/>
      <w:w w:val="100"/>
      <w:kern w:val="0"/>
      <w:lang w:eastAsia="en-AU"/>
    </w:rPr>
  </w:style>
  <w:style w:type="table" w:styleId="TableProfessional">
    <w:name w:val="Table Professional"/>
    <w:basedOn w:val="TableNormal"/>
    <w:uiPriority w:val="99"/>
    <w:semiHidden/>
    <w:unhideWhenUsed/>
    <w:rsid w:val="00030303"/>
    <w:pPr>
      <w:spacing w:after="0" w:line="240" w:lineRule="auto"/>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30303"/>
    <w:pPr>
      <w:spacing w:after="0" w:line="240" w:lineRule="auto"/>
    </w:pPr>
    <w:rPr>
      <w:rFonts w:ascii="Times New Roman" w:eastAsia="Times New Roman" w:hAnsi="Times New Roman" w:cs="Times New Roman"/>
      <w:sz w:val="20"/>
      <w:szCs w:val="20"/>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30303"/>
    <w:pPr>
      <w:spacing w:after="0" w:line="240" w:lineRule="auto"/>
    </w:pPr>
    <w:rPr>
      <w:rFonts w:ascii="Times New Roman" w:eastAsia="Times New Roman" w:hAnsi="Times New Roman" w:cs="Times New Roman"/>
      <w:sz w:val="20"/>
      <w:szCs w:val="20"/>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30303"/>
    <w:pPr>
      <w:spacing w:after="0" w:line="240" w:lineRule="auto"/>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30303"/>
    <w:pPr>
      <w:spacing w:after="0" w:line="240" w:lineRule="auto"/>
    </w:pPr>
    <w:rPr>
      <w:rFonts w:ascii="Times New Roman" w:eastAsia="Times New Roman" w:hAnsi="Times New Roman" w:cs="Times New Roman"/>
      <w:sz w:val="20"/>
      <w:szCs w:val="20"/>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030303"/>
    <w:pPr>
      <w:spacing w:after="0" w:line="240" w:lineRule="auto"/>
    </w:pPr>
    <w:rPr>
      <w:rFonts w:ascii="Times New Roman" w:eastAsia="Times New Roman" w:hAnsi="Times New Roman" w:cs="Times New Roman"/>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30303"/>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30303"/>
    <w:pPr>
      <w:spacing w:after="0" w:line="240" w:lineRule="auto"/>
    </w:pPr>
    <w:rPr>
      <w:rFonts w:ascii="Times New Roman" w:eastAsia="Times New Roman" w:hAnsi="Times New Roman"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30303"/>
    <w:pPr>
      <w:spacing w:after="0" w:line="240" w:lineRule="auto"/>
    </w:pPr>
    <w:rPr>
      <w:rFonts w:ascii="Times New Roman" w:eastAsia="Times New Roman" w:hAnsi="Times New Roman" w:cs="Times New Roman"/>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030303"/>
    <w:pPr>
      <w:spacing w:after="0" w:line="240" w:lineRule="auto"/>
    </w:pPr>
    <w:rPr>
      <w:rFonts w:ascii="Times New Roman" w:eastAsia="Times New Roman" w:hAnsi="Times New Roman"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OAHeading1">
    <w:name w:val="TOA Heading1"/>
    <w:basedOn w:val="Normal"/>
    <w:next w:val="Normal"/>
    <w:uiPriority w:val="99"/>
    <w:semiHidden/>
    <w:unhideWhenUsed/>
    <w:rsid w:val="00030303"/>
    <w:pPr>
      <w:spacing w:before="120" w:after="0" w:line="240" w:lineRule="auto"/>
    </w:pPr>
    <w:rPr>
      <w:rFonts w:ascii="Cambria" w:eastAsia="Times New Roman" w:hAnsi="Cambria" w:cs="Times New Roman"/>
      <w:b/>
      <w:bCs/>
      <w:w w:val="100"/>
      <w:kern w:val="0"/>
      <w:sz w:val="24"/>
      <w:szCs w:val="24"/>
      <w:lang w:eastAsia="en-AU"/>
    </w:rPr>
  </w:style>
  <w:style w:type="paragraph" w:styleId="TOC6">
    <w:name w:val="toc 6"/>
    <w:basedOn w:val="TOC5"/>
    <w:next w:val="Normal"/>
    <w:autoRedefine/>
    <w:uiPriority w:val="35"/>
    <w:semiHidden/>
    <w:rsid w:val="00030303"/>
    <w:pPr>
      <w:ind w:left="1219"/>
    </w:pPr>
  </w:style>
  <w:style w:type="paragraph" w:styleId="TOC7">
    <w:name w:val="toc 7"/>
    <w:basedOn w:val="TOC6"/>
    <w:next w:val="Normal"/>
    <w:autoRedefine/>
    <w:uiPriority w:val="35"/>
    <w:semiHidden/>
    <w:rsid w:val="00030303"/>
    <w:pPr>
      <w:ind w:left="1446"/>
    </w:pPr>
  </w:style>
  <w:style w:type="paragraph" w:styleId="TOC8">
    <w:name w:val="toc 8"/>
    <w:basedOn w:val="Normal"/>
    <w:next w:val="Normal"/>
    <w:autoRedefine/>
    <w:uiPriority w:val="35"/>
    <w:semiHidden/>
    <w:rsid w:val="00030303"/>
    <w:pPr>
      <w:spacing w:after="0" w:line="240" w:lineRule="auto"/>
      <w:ind w:left="1540"/>
    </w:pPr>
    <w:rPr>
      <w:rFonts w:ascii="Arial" w:eastAsia="Times New Roman" w:hAnsi="Arial" w:cs="Arial"/>
      <w:w w:val="100"/>
      <w:kern w:val="0"/>
      <w:lang w:eastAsia="en-AU"/>
    </w:rPr>
  </w:style>
  <w:style w:type="paragraph" w:styleId="TOC9">
    <w:name w:val="toc 9"/>
    <w:basedOn w:val="Normal"/>
    <w:next w:val="Normal"/>
    <w:autoRedefine/>
    <w:uiPriority w:val="35"/>
    <w:semiHidden/>
    <w:rsid w:val="00030303"/>
    <w:pPr>
      <w:spacing w:after="0" w:line="240" w:lineRule="auto"/>
      <w:ind w:left="1760"/>
    </w:pPr>
    <w:rPr>
      <w:rFonts w:ascii="Arial" w:eastAsia="Times New Roman" w:hAnsi="Arial" w:cs="Arial"/>
      <w:w w:val="100"/>
      <w:kern w:val="0"/>
      <w:lang w:eastAsia="en-AU"/>
    </w:rPr>
  </w:style>
  <w:style w:type="paragraph" w:customStyle="1" w:styleId="TableTitle">
    <w:name w:val="Table Title"/>
    <w:uiPriority w:val="98"/>
    <w:semiHidden/>
    <w:rsid w:val="00030303"/>
    <w:pPr>
      <w:spacing w:before="60" w:after="0" w:line="240" w:lineRule="exact"/>
    </w:pPr>
    <w:rPr>
      <w:rFonts w:ascii="Arial" w:eastAsia="Times New Roman" w:hAnsi="Arial" w:cs="Arial"/>
      <w:b/>
      <w:lang w:eastAsia="en-AU"/>
    </w:rPr>
  </w:style>
  <w:style w:type="paragraph" w:customStyle="1" w:styleId="TableLabel">
    <w:name w:val="Table Label"/>
    <w:uiPriority w:val="98"/>
    <w:semiHidden/>
    <w:rsid w:val="00030303"/>
    <w:pPr>
      <w:spacing w:before="60" w:after="0" w:line="240" w:lineRule="exact"/>
      <w:jc w:val="right"/>
    </w:pPr>
    <w:rPr>
      <w:rFonts w:ascii="Arial" w:eastAsia="Times New Roman" w:hAnsi="Arial" w:cs="Arial"/>
      <w:b/>
      <w:sz w:val="20"/>
      <w:szCs w:val="20"/>
      <w:lang w:eastAsia="en-AU"/>
    </w:rPr>
  </w:style>
  <w:style w:type="paragraph" w:customStyle="1" w:styleId="TableText">
    <w:name w:val="Table Text"/>
    <w:uiPriority w:val="98"/>
    <w:semiHidden/>
    <w:rsid w:val="00030303"/>
    <w:pPr>
      <w:spacing w:before="60" w:after="0" w:line="240" w:lineRule="exact"/>
    </w:pPr>
    <w:rPr>
      <w:rFonts w:ascii="Arial" w:eastAsia="Times New Roman" w:hAnsi="Arial" w:cs="Arial"/>
      <w:lang w:eastAsia="en-AU"/>
    </w:rPr>
  </w:style>
  <w:style w:type="paragraph" w:customStyle="1" w:styleId="TableSubject">
    <w:name w:val="Table Subject"/>
    <w:uiPriority w:val="98"/>
    <w:semiHidden/>
    <w:rsid w:val="00030303"/>
    <w:pPr>
      <w:spacing w:before="60" w:after="0" w:line="240" w:lineRule="exact"/>
    </w:pPr>
    <w:rPr>
      <w:rFonts w:ascii="Arial" w:eastAsia="Times New Roman" w:hAnsi="Arial" w:cs="Arial"/>
      <w:b/>
      <w:lang w:eastAsia="en-AU"/>
    </w:rPr>
  </w:style>
  <w:style w:type="paragraph" w:customStyle="1" w:styleId="NumberLevel1-NoIndent">
    <w:name w:val="Number Level 1 - No Indent"/>
    <w:basedOn w:val="TableNumberLevel1"/>
    <w:uiPriority w:val="1"/>
    <w:semiHidden/>
    <w:rsid w:val="00030303"/>
    <w:rPr>
      <w:sz w:val="22"/>
    </w:rPr>
  </w:style>
  <w:style w:type="paragraph" w:customStyle="1" w:styleId="NumberLevel2-NoIndent">
    <w:name w:val="Number Level 2 - No Indent"/>
    <w:basedOn w:val="TableNumberLevel2"/>
    <w:uiPriority w:val="1"/>
    <w:semiHidden/>
    <w:rsid w:val="00030303"/>
    <w:rPr>
      <w:sz w:val="22"/>
    </w:rPr>
  </w:style>
  <w:style w:type="character" w:customStyle="1" w:styleId="TableNumberLevel1Char">
    <w:name w:val="Table: Number Level 1 Char"/>
    <w:aliases w:val="Table N1 Char"/>
    <w:basedOn w:val="DefaultParagraphFont"/>
    <w:link w:val="TableNumberLevel1"/>
    <w:uiPriority w:val="12"/>
    <w:rsid w:val="00030303"/>
    <w:rPr>
      <w:rFonts w:ascii="Arial" w:eastAsia="Times New Roman" w:hAnsi="Arial" w:cs="Arial"/>
      <w:sz w:val="20"/>
      <w:lang w:eastAsia="en-AU"/>
    </w:rPr>
  </w:style>
  <w:style w:type="paragraph" w:customStyle="1" w:styleId="NumberLevel3-NoIndent">
    <w:name w:val="Number Level 3 - No Indent"/>
    <w:basedOn w:val="TableNumberLevel3"/>
    <w:uiPriority w:val="1"/>
    <w:semiHidden/>
    <w:rsid w:val="00030303"/>
    <w:rPr>
      <w:sz w:val="22"/>
    </w:rPr>
  </w:style>
  <w:style w:type="paragraph" w:customStyle="1" w:styleId="NumberLevel4-NoIndent">
    <w:name w:val="Number Level 4 - No Indent"/>
    <w:basedOn w:val="TableNumberLevel4"/>
    <w:uiPriority w:val="1"/>
    <w:semiHidden/>
    <w:rsid w:val="00030303"/>
    <w:rPr>
      <w:sz w:val="22"/>
    </w:rPr>
  </w:style>
  <w:style w:type="paragraph" w:customStyle="1" w:styleId="NumberLevel5-NoIndent">
    <w:name w:val="Number Level 5 - No Indent"/>
    <w:basedOn w:val="TableNumberLevel5"/>
    <w:uiPriority w:val="1"/>
    <w:semiHidden/>
    <w:rsid w:val="00030303"/>
    <w:rPr>
      <w:sz w:val="22"/>
    </w:rPr>
  </w:style>
  <w:style w:type="paragraph" w:customStyle="1" w:styleId="NumberLevel6-NoIndent">
    <w:name w:val="Number Level 6 - No Indent"/>
    <w:basedOn w:val="TableNumberLevel6"/>
    <w:uiPriority w:val="1"/>
    <w:semiHidden/>
    <w:rsid w:val="00030303"/>
    <w:rPr>
      <w:sz w:val="22"/>
    </w:rPr>
  </w:style>
  <w:style w:type="paragraph" w:customStyle="1" w:styleId="NumberLevel7-NoIndent">
    <w:name w:val="Number Level 7 - No Indent"/>
    <w:basedOn w:val="TableNumberLevel7"/>
    <w:uiPriority w:val="1"/>
    <w:semiHidden/>
    <w:rsid w:val="00030303"/>
    <w:rPr>
      <w:sz w:val="22"/>
    </w:rPr>
  </w:style>
  <w:style w:type="paragraph" w:customStyle="1" w:styleId="NumberLevel8-NoIndent">
    <w:name w:val="Number Level 8 - No Indent"/>
    <w:basedOn w:val="TableNumberLevel8"/>
    <w:uiPriority w:val="1"/>
    <w:semiHidden/>
    <w:rsid w:val="00030303"/>
    <w:rPr>
      <w:sz w:val="22"/>
    </w:rPr>
  </w:style>
  <w:style w:type="paragraph" w:customStyle="1" w:styleId="NumberLevel9-NoIndent">
    <w:name w:val="Number Level 9 - No Indent"/>
    <w:basedOn w:val="TableNumberLevel9"/>
    <w:uiPriority w:val="1"/>
    <w:semiHidden/>
    <w:rsid w:val="00030303"/>
    <w:rPr>
      <w:sz w:val="22"/>
    </w:rPr>
  </w:style>
  <w:style w:type="table" w:customStyle="1" w:styleId="GridTable1Light1">
    <w:name w:val="Grid Table 1 Light1"/>
    <w:basedOn w:val="TableNormal"/>
    <w:next w:val="GridTable1Light"/>
    <w:uiPriority w:val="46"/>
    <w:rsid w:val="00030303"/>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1">
    <w:name w:val="Grid Table 1 Light - Accent 11"/>
    <w:basedOn w:val="TableNormal"/>
    <w:next w:val="GridTable1Light-Accent1"/>
    <w:uiPriority w:val="46"/>
    <w:rsid w:val="00030303"/>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GridTable1Light-Accent21">
    <w:name w:val="Grid Table 1 Light - Accent 21"/>
    <w:basedOn w:val="TableNormal"/>
    <w:next w:val="GridTable1Light-Accent2"/>
    <w:uiPriority w:val="46"/>
    <w:rsid w:val="00030303"/>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table" w:customStyle="1" w:styleId="GridTable1Light-Accent31">
    <w:name w:val="Grid Table 1 Light - Accent 31"/>
    <w:basedOn w:val="TableNormal"/>
    <w:next w:val="GridTable1Light-Accent3"/>
    <w:uiPriority w:val="46"/>
    <w:rsid w:val="00030303"/>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Pr>
    <w:tblStylePr w:type="firstRow">
      <w:rPr>
        <w:b/>
        <w:bCs/>
      </w:rPr>
      <w:tblPr/>
      <w:tcPr>
        <w:tcBorders>
          <w:bottom w:val="single" w:sz="12" w:space="0" w:color="C2D69B"/>
        </w:tcBorders>
      </w:tcPr>
    </w:tblStylePr>
    <w:tblStylePr w:type="lastRow">
      <w:rPr>
        <w:b/>
        <w:bCs/>
      </w:rPr>
      <w:tblPr/>
      <w:tcPr>
        <w:tcBorders>
          <w:top w:val="double" w:sz="2" w:space="0" w:color="C2D69B"/>
        </w:tcBorders>
      </w:tcPr>
    </w:tblStylePr>
    <w:tblStylePr w:type="firstCol">
      <w:rPr>
        <w:b/>
        <w:bCs/>
      </w:rPr>
    </w:tblStylePr>
    <w:tblStylePr w:type="lastCol">
      <w:rPr>
        <w:b/>
        <w:bCs/>
      </w:rPr>
    </w:tblStylePr>
  </w:style>
  <w:style w:type="table" w:customStyle="1" w:styleId="GridTable1Light-Accent41">
    <w:name w:val="Grid Table 1 Light - Accent 41"/>
    <w:basedOn w:val="TableNormal"/>
    <w:next w:val="GridTable1Light-Accent4"/>
    <w:uiPriority w:val="46"/>
    <w:rsid w:val="00030303"/>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Pr>
    <w:tblStylePr w:type="firstRow">
      <w:rPr>
        <w:b/>
        <w:bCs/>
      </w:rPr>
      <w:tblPr/>
      <w:tcPr>
        <w:tcBorders>
          <w:bottom w:val="single" w:sz="12" w:space="0" w:color="B2A1C7"/>
        </w:tcBorders>
      </w:tcPr>
    </w:tblStylePr>
    <w:tblStylePr w:type="lastRow">
      <w:rPr>
        <w:b/>
        <w:bCs/>
      </w:rPr>
      <w:tblPr/>
      <w:tcPr>
        <w:tcBorders>
          <w:top w:val="double" w:sz="2" w:space="0" w:color="B2A1C7"/>
        </w:tcBorders>
      </w:tcPr>
    </w:tblStylePr>
    <w:tblStylePr w:type="firstCol">
      <w:rPr>
        <w:b/>
        <w:bCs/>
      </w:rPr>
    </w:tblStylePr>
    <w:tblStylePr w:type="lastCol">
      <w:rPr>
        <w:b/>
        <w:bCs/>
      </w:rPr>
    </w:tblStylePr>
  </w:style>
  <w:style w:type="table" w:customStyle="1" w:styleId="GridTable1Light-Accent51">
    <w:name w:val="Grid Table 1 Light - Accent 51"/>
    <w:basedOn w:val="TableNormal"/>
    <w:next w:val="GridTable1Light-Accent5"/>
    <w:uiPriority w:val="46"/>
    <w:rsid w:val="00030303"/>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GridTable1Light-Accent61">
    <w:name w:val="Grid Table 1 Light - Accent 61"/>
    <w:basedOn w:val="TableNormal"/>
    <w:next w:val="GridTable1Light-Accent6"/>
    <w:uiPriority w:val="46"/>
    <w:rsid w:val="00030303"/>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GridTable21">
    <w:name w:val="Grid Table 21"/>
    <w:basedOn w:val="TableNormal"/>
    <w:next w:val="GridTable2"/>
    <w:uiPriority w:val="47"/>
    <w:rsid w:val="00030303"/>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2-Accent11">
    <w:name w:val="Grid Table 2 - Accent 11"/>
    <w:basedOn w:val="TableNormal"/>
    <w:next w:val="GridTable2-Accent1"/>
    <w:uiPriority w:val="47"/>
    <w:rsid w:val="00030303"/>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2-Accent21">
    <w:name w:val="Grid Table 2 - Accent 21"/>
    <w:basedOn w:val="TableNormal"/>
    <w:next w:val="GridTable2-Accent2"/>
    <w:uiPriority w:val="47"/>
    <w:rsid w:val="00030303"/>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GridTable2-Accent31">
    <w:name w:val="Grid Table 2 - Accent 31"/>
    <w:basedOn w:val="TableNormal"/>
    <w:next w:val="GridTable2-Accent3"/>
    <w:uiPriority w:val="47"/>
    <w:rsid w:val="00030303"/>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2" w:space="0" w:color="C2D69B"/>
        <w:bottom w:val="single" w:sz="2" w:space="0" w:color="C2D69B"/>
        <w:insideH w:val="single" w:sz="2" w:space="0" w:color="C2D69B"/>
        <w:insideV w:val="single" w:sz="2" w:space="0" w:color="C2D69B"/>
      </w:tblBorders>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2-Accent41">
    <w:name w:val="Grid Table 2 - Accent 41"/>
    <w:basedOn w:val="TableNormal"/>
    <w:next w:val="GridTable2-Accent4"/>
    <w:uiPriority w:val="47"/>
    <w:rsid w:val="00030303"/>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2" w:space="0" w:color="B2A1C7"/>
        <w:bottom w:val="single" w:sz="2" w:space="0" w:color="B2A1C7"/>
        <w:insideH w:val="single" w:sz="2" w:space="0" w:color="B2A1C7"/>
        <w:insideV w:val="single" w:sz="2" w:space="0" w:color="B2A1C7"/>
      </w:tblBorders>
    </w:tblPr>
    <w:tblStylePr w:type="firstRow">
      <w:rPr>
        <w:b/>
        <w:bCs/>
      </w:rPr>
      <w:tblPr/>
      <w:tcPr>
        <w:tcBorders>
          <w:top w:val="nil"/>
          <w:bottom w:val="single" w:sz="12" w:space="0" w:color="B2A1C7"/>
          <w:insideH w:val="nil"/>
          <w:insideV w:val="nil"/>
        </w:tcBorders>
        <w:shd w:val="clear" w:color="auto" w:fill="FFFFFF"/>
      </w:tcPr>
    </w:tblStylePr>
    <w:tblStylePr w:type="lastRow">
      <w:rPr>
        <w:b/>
        <w:bCs/>
      </w:rPr>
      <w:tblPr/>
      <w:tcPr>
        <w:tcBorders>
          <w:top w:val="double" w:sz="2" w:space="0" w:color="B2A1C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GridTable2-Accent51">
    <w:name w:val="Grid Table 2 - Accent 51"/>
    <w:basedOn w:val="TableNormal"/>
    <w:next w:val="GridTable2-Accent5"/>
    <w:uiPriority w:val="47"/>
    <w:rsid w:val="00030303"/>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2" w:space="0" w:color="92CDDC"/>
        <w:bottom w:val="single" w:sz="2" w:space="0" w:color="92CDDC"/>
        <w:insideH w:val="single" w:sz="2" w:space="0" w:color="92CDDC"/>
        <w:insideV w:val="single" w:sz="2" w:space="0" w:color="92CDDC"/>
      </w:tblBorders>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2-Accent61">
    <w:name w:val="Grid Table 2 - Accent 61"/>
    <w:basedOn w:val="TableNormal"/>
    <w:next w:val="GridTable2-Accent6"/>
    <w:uiPriority w:val="47"/>
    <w:rsid w:val="00030303"/>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2" w:space="0" w:color="FABF8F"/>
        <w:bottom w:val="single" w:sz="2" w:space="0" w:color="FABF8F"/>
        <w:insideH w:val="single" w:sz="2" w:space="0" w:color="FABF8F"/>
        <w:insideV w:val="single" w:sz="2" w:space="0" w:color="FABF8F"/>
      </w:tblBorders>
    </w:tblPr>
    <w:tblStylePr w:type="firstRow">
      <w:rPr>
        <w:b/>
        <w:bCs/>
      </w:rPr>
      <w:tblPr/>
      <w:tcPr>
        <w:tcBorders>
          <w:top w:val="nil"/>
          <w:bottom w:val="single" w:sz="12" w:space="0" w:color="FABF8F"/>
          <w:insideH w:val="nil"/>
          <w:insideV w:val="nil"/>
        </w:tcBorders>
        <w:shd w:val="clear" w:color="auto" w:fill="FFFFFF"/>
      </w:tcPr>
    </w:tblStylePr>
    <w:tblStylePr w:type="lastRow">
      <w:rPr>
        <w:b/>
        <w:bCs/>
      </w:rPr>
      <w:tblPr/>
      <w:tcPr>
        <w:tcBorders>
          <w:top w:val="double" w:sz="2" w:space="0" w:color="FABF8F"/>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GridTable31">
    <w:name w:val="Grid Table 31"/>
    <w:basedOn w:val="TableNormal"/>
    <w:next w:val="GridTable3"/>
    <w:uiPriority w:val="48"/>
    <w:rsid w:val="00030303"/>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3-Accent11">
    <w:name w:val="Grid Table 3 - Accent 11"/>
    <w:basedOn w:val="TableNormal"/>
    <w:next w:val="GridTable3-Accent1"/>
    <w:uiPriority w:val="48"/>
    <w:rsid w:val="00030303"/>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3-Accent21">
    <w:name w:val="Grid Table 3 - Accent 21"/>
    <w:basedOn w:val="TableNormal"/>
    <w:next w:val="GridTable3-Accent2"/>
    <w:uiPriority w:val="48"/>
    <w:rsid w:val="00030303"/>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2DBDB"/>
      </w:tcPr>
    </w:tblStylePr>
    <w:tblStylePr w:type="band1Horz">
      <w:tblPr/>
      <w:tcPr>
        <w:shd w:val="clear" w:color="auto" w:fill="F2DBDB"/>
      </w:tcPr>
    </w:tblStylePr>
    <w:tblStylePr w:type="neCell">
      <w:tblPr/>
      <w:tcPr>
        <w:tcBorders>
          <w:bottom w:val="single" w:sz="4" w:space="0" w:color="D99594"/>
        </w:tcBorders>
      </w:tcPr>
    </w:tblStylePr>
    <w:tblStylePr w:type="nwCell">
      <w:tblPr/>
      <w:tcPr>
        <w:tcBorders>
          <w:bottom w:val="single" w:sz="4" w:space="0" w:color="D99594"/>
        </w:tcBorders>
      </w:tcPr>
    </w:tblStylePr>
    <w:tblStylePr w:type="seCell">
      <w:tblPr/>
      <w:tcPr>
        <w:tcBorders>
          <w:top w:val="single" w:sz="4" w:space="0" w:color="D99594"/>
        </w:tcBorders>
      </w:tcPr>
    </w:tblStylePr>
    <w:tblStylePr w:type="swCell">
      <w:tblPr/>
      <w:tcPr>
        <w:tcBorders>
          <w:top w:val="single" w:sz="4" w:space="0" w:color="D99594"/>
        </w:tcBorders>
      </w:tcPr>
    </w:tblStylePr>
  </w:style>
  <w:style w:type="table" w:customStyle="1" w:styleId="GridTable3-Accent31">
    <w:name w:val="Grid Table 3 - Accent 31"/>
    <w:basedOn w:val="TableNormal"/>
    <w:next w:val="GridTable3-Accent3"/>
    <w:uiPriority w:val="48"/>
    <w:rsid w:val="00030303"/>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AF1DD"/>
      </w:tcPr>
    </w:tblStylePr>
    <w:tblStylePr w:type="band1Horz">
      <w:tblPr/>
      <w:tcPr>
        <w:shd w:val="clear" w:color="auto" w:fill="EAF1DD"/>
      </w:tcPr>
    </w:tblStylePr>
    <w:tblStylePr w:type="neCell">
      <w:tblPr/>
      <w:tcPr>
        <w:tcBorders>
          <w:bottom w:val="single" w:sz="4" w:space="0" w:color="C2D69B"/>
        </w:tcBorders>
      </w:tcPr>
    </w:tblStylePr>
    <w:tblStylePr w:type="nwCell">
      <w:tblPr/>
      <w:tcPr>
        <w:tcBorders>
          <w:bottom w:val="single" w:sz="4" w:space="0" w:color="C2D69B"/>
        </w:tcBorders>
      </w:tcPr>
    </w:tblStylePr>
    <w:tblStylePr w:type="seCell">
      <w:tblPr/>
      <w:tcPr>
        <w:tcBorders>
          <w:top w:val="single" w:sz="4" w:space="0" w:color="C2D69B"/>
        </w:tcBorders>
      </w:tcPr>
    </w:tblStylePr>
    <w:tblStylePr w:type="swCell">
      <w:tblPr/>
      <w:tcPr>
        <w:tcBorders>
          <w:top w:val="single" w:sz="4" w:space="0" w:color="C2D69B"/>
        </w:tcBorders>
      </w:tcPr>
    </w:tblStylePr>
  </w:style>
  <w:style w:type="table" w:customStyle="1" w:styleId="GridTable3-Accent41">
    <w:name w:val="Grid Table 3 - Accent 41"/>
    <w:basedOn w:val="TableNormal"/>
    <w:next w:val="GridTable3-Accent4"/>
    <w:uiPriority w:val="48"/>
    <w:rsid w:val="00030303"/>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5DFEC"/>
      </w:tcPr>
    </w:tblStylePr>
    <w:tblStylePr w:type="band1Horz">
      <w:tblPr/>
      <w:tcPr>
        <w:shd w:val="clear" w:color="auto" w:fill="E5DFEC"/>
      </w:tcPr>
    </w:tblStylePr>
    <w:tblStylePr w:type="neCell">
      <w:tblPr/>
      <w:tcPr>
        <w:tcBorders>
          <w:bottom w:val="single" w:sz="4" w:space="0" w:color="B2A1C7"/>
        </w:tcBorders>
      </w:tcPr>
    </w:tblStylePr>
    <w:tblStylePr w:type="nwCell">
      <w:tblPr/>
      <w:tcPr>
        <w:tcBorders>
          <w:bottom w:val="single" w:sz="4" w:space="0" w:color="B2A1C7"/>
        </w:tcBorders>
      </w:tcPr>
    </w:tblStylePr>
    <w:tblStylePr w:type="seCell">
      <w:tblPr/>
      <w:tcPr>
        <w:tcBorders>
          <w:top w:val="single" w:sz="4" w:space="0" w:color="B2A1C7"/>
        </w:tcBorders>
      </w:tcPr>
    </w:tblStylePr>
    <w:tblStylePr w:type="swCell">
      <w:tblPr/>
      <w:tcPr>
        <w:tcBorders>
          <w:top w:val="single" w:sz="4" w:space="0" w:color="B2A1C7"/>
        </w:tcBorders>
      </w:tcPr>
    </w:tblStylePr>
  </w:style>
  <w:style w:type="table" w:customStyle="1" w:styleId="GridTable3-Accent51">
    <w:name w:val="Grid Table 3 - Accent 51"/>
    <w:basedOn w:val="TableNormal"/>
    <w:next w:val="GridTable3-Accent5"/>
    <w:uiPriority w:val="48"/>
    <w:rsid w:val="00030303"/>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AEEF3"/>
      </w:tcPr>
    </w:tblStylePr>
    <w:tblStylePr w:type="band1Horz">
      <w:tblPr/>
      <w:tcPr>
        <w:shd w:val="clear" w:color="auto" w:fill="DAEEF3"/>
      </w:tcPr>
    </w:tblStylePr>
    <w:tblStylePr w:type="neCell">
      <w:tblPr/>
      <w:tcPr>
        <w:tcBorders>
          <w:bottom w:val="single" w:sz="4" w:space="0" w:color="92CDDC"/>
        </w:tcBorders>
      </w:tcPr>
    </w:tblStylePr>
    <w:tblStylePr w:type="nwCell">
      <w:tblPr/>
      <w:tcPr>
        <w:tcBorders>
          <w:bottom w:val="single" w:sz="4" w:space="0" w:color="92CDDC"/>
        </w:tcBorders>
      </w:tcPr>
    </w:tblStylePr>
    <w:tblStylePr w:type="seCell">
      <w:tblPr/>
      <w:tcPr>
        <w:tcBorders>
          <w:top w:val="single" w:sz="4" w:space="0" w:color="92CDDC"/>
        </w:tcBorders>
      </w:tcPr>
    </w:tblStylePr>
    <w:tblStylePr w:type="swCell">
      <w:tblPr/>
      <w:tcPr>
        <w:tcBorders>
          <w:top w:val="single" w:sz="4" w:space="0" w:color="92CDDC"/>
        </w:tcBorders>
      </w:tcPr>
    </w:tblStylePr>
  </w:style>
  <w:style w:type="table" w:customStyle="1" w:styleId="GridTable3-Accent61">
    <w:name w:val="Grid Table 3 - Accent 61"/>
    <w:basedOn w:val="TableNormal"/>
    <w:next w:val="GridTable3-Accent6"/>
    <w:uiPriority w:val="48"/>
    <w:rsid w:val="00030303"/>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9D9"/>
      </w:tcPr>
    </w:tblStylePr>
    <w:tblStylePr w:type="band1Horz">
      <w:tblPr/>
      <w:tcPr>
        <w:shd w:val="clear" w:color="auto" w:fill="FDE9D9"/>
      </w:tcPr>
    </w:tblStylePr>
    <w:tblStylePr w:type="neCell">
      <w:tblPr/>
      <w:tcPr>
        <w:tcBorders>
          <w:bottom w:val="single" w:sz="4" w:space="0" w:color="FABF8F"/>
        </w:tcBorders>
      </w:tcPr>
    </w:tblStylePr>
    <w:tblStylePr w:type="nwCell">
      <w:tblPr/>
      <w:tcPr>
        <w:tcBorders>
          <w:bottom w:val="single" w:sz="4" w:space="0" w:color="FABF8F"/>
        </w:tcBorders>
      </w:tcPr>
    </w:tblStylePr>
    <w:tblStylePr w:type="seCell">
      <w:tblPr/>
      <w:tcPr>
        <w:tcBorders>
          <w:top w:val="single" w:sz="4" w:space="0" w:color="FABF8F"/>
        </w:tcBorders>
      </w:tcPr>
    </w:tblStylePr>
    <w:tblStylePr w:type="swCell">
      <w:tblPr/>
      <w:tcPr>
        <w:tcBorders>
          <w:top w:val="single" w:sz="4" w:space="0" w:color="FABF8F"/>
        </w:tcBorders>
      </w:tcPr>
    </w:tblStylePr>
  </w:style>
  <w:style w:type="table" w:customStyle="1" w:styleId="GridTable41">
    <w:name w:val="Grid Table 41"/>
    <w:basedOn w:val="TableNormal"/>
    <w:next w:val="GridTable4"/>
    <w:uiPriority w:val="49"/>
    <w:rsid w:val="00030303"/>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4-Accent11">
    <w:name w:val="Grid Table 4 - Accent 11"/>
    <w:basedOn w:val="TableNormal"/>
    <w:next w:val="GridTable4-Accent1"/>
    <w:uiPriority w:val="49"/>
    <w:rsid w:val="00030303"/>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4-Accent21">
    <w:name w:val="Grid Table 4 - Accent 21"/>
    <w:basedOn w:val="TableNormal"/>
    <w:next w:val="GridTable4-Accent2"/>
    <w:uiPriority w:val="49"/>
    <w:rsid w:val="00030303"/>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GridTable4-Accent31">
    <w:name w:val="Grid Table 4 - Accent 31"/>
    <w:basedOn w:val="TableNormal"/>
    <w:next w:val="GridTable4-Accent3"/>
    <w:uiPriority w:val="49"/>
    <w:rsid w:val="00030303"/>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4-Accent41">
    <w:name w:val="Grid Table 4 - Accent 41"/>
    <w:basedOn w:val="TableNormal"/>
    <w:next w:val="GridTable4-Accent4"/>
    <w:uiPriority w:val="49"/>
    <w:rsid w:val="00030303"/>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GridTable4-Accent51">
    <w:name w:val="Grid Table 4 - Accent 51"/>
    <w:basedOn w:val="TableNormal"/>
    <w:next w:val="GridTable4-Accent5"/>
    <w:uiPriority w:val="49"/>
    <w:rsid w:val="00030303"/>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4-Accent61">
    <w:name w:val="Grid Table 4 - Accent 61"/>
    <w:basedOn w:val="TableNormal"/>
    <w:next w:val="GridTable4-Accent6"/>
    <w:uiPriority w:val="49"/>
    <w:rsid w:val="00030303"/>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GridTable5Dark1">
    <w:name w:val="Grid Table 5 Dark1"/>
    <w:basedOn w:val="TableNormal"/>
    <w:next w:val="GridTable5Dark"/>
    <w:uiPriority w:val="50"/>
    <w:rsid w:val="00030303"/>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GridTable5Dark-Accent11">
    <w:name w:val="Grid Table 5 Dark - Accent 11"/>
    <w:basedOn w:val="TableNormal"/>
    <w:next w:val="GridTable5Dark-Accent1"/>
    <w:uiPriority w:val="50"/>
    <w:rsid w:val="00030303"/>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GridTable5Dark-Accent21">
    <w:name w:val="Grid Table 5 Dark - Accent 21"/>
    <w:basedOn w:val="TableNormal"/>
    <w:next w:val="GridTable5Dark-Accent2"/>
    <w:uiPriority w:val="50"/>
    <w:rsid w:val="00030303"/>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 w:type="table" w:customStyle="1" w:styleId="GridTable5Dark-Accent31">
    <w:name w:val="Grid Table 5 Dark - Accent 31"/>
    <w:basedOn w:val="TableNormal"/>
    <w:next w:val="GridTable5Dark-Accent3"/>
    <w:uiPriority w:val="50"/>
    <w:rsid w:val="00030303"/>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GridTable5Dark-Accent41">
    <w:name w:val="Grid Table 5 Dark - Accent 41"/>
    <w:basedOn w:val="TableNormal"/>
    <w:next w:val="GridTable5Dark-Accent4"/>
    <w:uiPriority w:val="50"/>
    <w:rsid w:val="00030303"/>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5DFE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8064A2"/>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8064A2"/>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8064A2"/>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8064A2"/>
      </w:tcPr>
    </w:tblStylePr>
    <w:tblStylePr w:type="band1Vert">
      <w:tblPr/>
      <w:tcPr>
        <w:shd w:val="clear" w:color="auto" w:fill="CCC0D9"/>
      </w:tcPr>
    </w:tblStylePr>
    <w:tblStylePr w:type="band1Horz">
      <w:tblPr/>
      <w:tcPr>
        <w:shd w:val="clear" w:color="auto" w:fill="CCC0D9"/>
      </w:tcPr>
    </w:tblStylePr>
  </w:style>
  <w:style w:type="table" w:customStyle="1" w:styleId="GridTable5Dark-Accent51">
    <w:name w:val="Grid Table 5 Dark - Accent 51"/>
    <w:basedOn w:val="TableNormal"/>
    <w:next w:val="GridTable5Dark-Accent5"/>
    <w:uiPriority w:val="50"/>
    <w:rsid w:val="00030303"/>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5Dark-Accent61">
    <w:name w:val="Grid Table 5 Dark - Accent 61"/>
    <w:basedOn w:val="TableNormal"/>
    <w:next w:val="GridTable5Dark-Accent6"/>
    <w:uiPriority w:val="50"/>
    <w:rsid w:val="00030303"/>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DE9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7964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7964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7964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79646"/>
      </w:tcPr>
    </w:tblStylePr>
    <w:tblStylePr w:type="band1Vert">
      <w:tblPr/>
      <w:tcPr>
        <w:shd w:val="clear" w:color="auto" w:fill="FBD4B4"/>
      </w:tcPr>
    </w:tblStylePr>
    <w:tblStylePr w:type="band1Horz">
      <w:tblPr/>
      <w:tcPr>
        <w:shd w:val="clear" w:color="auto" w:fill="FBD4B4"/>
      </w:tcPr>
    </w:tblStylePr>
  </w:style>
  <w:style w:type="table" w:customStyle="1" w:styleId="GridTable6Colorful1">
    <w:name w:val="Grid Table 6 Colorful1"/>
    <w:basedOn w:val="TableNormal"/>
    <w:next w:val="GridTable6Colorful"/>
    <w:uiPriority w:val="51"/>
    <w:rsid w:val="00030303"/>
    <w:pPr>
      <w:spacing w:after="0" w:line="240" w:lineRule="auto"/>
    </w:pPr>
    <w:rPr>
      <w:rFonts w:ascii="Times New Roman" w:eastAsia="Times New Roman" w:hAnsi="Times New Roman" w:cs="Times New Roman"/>
      <w:color w:val="000000"/>
      <w:sz w:val="20"/>
      <w:szCs w:val="20"/>
      <w:lang w:eastAsia="en-AU"/>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6Colorful-Accent11">
    <w:name w:val="Grid Table 6 Colorful - Accent 11"/>
    <w:basedOn w:val="TableNormal"/>
    <w:next w:val="GridTable6Colorful-Accent1"/>
    <w:uiPriority w:val="51"/>
    <w:rsid w:val="00030303"/>
    <w:pPr>
      <w:spacing w:after="0" w:line="240" w:lineRule="auto"/>
    </w:pPr>
    <w:rPr>
      <w:rFonts w:ascii="Times New Roman" w:eastAsia="Times New Roman" w:hAnsi="Times New Roman" w:cs="Times New Roman"/>
      <w:color w:val="365F91"/>
      <w:sz w:val="20"/>
      <w:szCs w:val="20"/>
      <w:lang w:eastAsia="en-AU"/>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bottom w:val="single" w:sz="12" w:space="0" w:color="95B3D7"/>
        </w:tcBorders>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6Colorful-Accent21">
    <w:name w:val="Grid Table 6 Colorful - Accent 21"/>
    <w:basedOn w:val="TableNormal"/>
    <w:next w:val="GridTable6Colorful-Accent2"/>
    <w:uiPriority w:val="51"/>
    <w:rsid w:val="00030303"/>
    <w:pPr>
      <w:spacing w:after="0" w:line="240" w:lineRule="auto"/>
    </w:pPr>
    <w:rPr>
      <w:rFonts w:ascii="Times New Roman" w:eastAsia="Times New Roman" w:hAnsi="Times New Roman" w:cs="Times New Roman"/>
      <w:color w:val="943634"/>
      <w:sz w:val="20"/>
      <w:szCs w:val="20"/>
      <w:lang w:eastAsia="en-AU"/>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rPr>
      <w:tblPr/>
      <w:tcPr>
        <w:tcBorders>
          <w:bottom w:val="single" w:sz="12" w:space="0" w:color="D99594"/>
        </w:tcBorders>
      </w:tcPr>
    </w:tblStylePr>
    <w:tblStylePr w:type="lastRow">
      <w:rPr>
        <w:b/>
        <w:bCs/>
      </w:rPr>
      <w:tblPr/>
      <w:tcPr>
        <w:tcBorders>
          <w:top w:val="double" w:sz="4" w:space="0" w:color="D99594"/>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GridTable6Colorful-Accent31">
    <w:name w:val="Grid Table 6 Colorful - Accent 31"/>
    <w:basedOn w:val="TableNormal"/>
    <w:next w:val="GridTable6Colorful-Accent3"/>
    <w:uiPriority w:val="51"/>
    <w:rsid w:val="00030303"/>
    <w:pPr>
      <w:spacing w:after="0" w:line="240" w:lineRule="auto"/>
    </w:pPr>
    <w:rPr>
      <w:rFonts w:ascii="Times New Roman" w:eastAsia="Times New Roman" w:hAnsi="Times New Roman" w:cs="Times New Roman"/>
      <w:color w:val="76923C"/>
      <w:sz w:val="20"/>
      <w:szCs w:val="20"/>
      <w:lang w:eastAsia="en-AU"/>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rPr>
      <w:tblPr/>
      <w:tcPr>
        <w:tcBorders>
          <w:bottom w:val="single" w:sz="12" w:space="0" w:color="C2D69B"/>
        </w:tcBorders>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6Colorful-Accent41">
    <w:name w:val="Grid Table 6 Colorful - Accent 41"/>
    <w:basedOn w:val="TableNormal"/>
    <w:next w:val="GridTable6Colorful-Accent4"/>
    <w:uiPriority w:val="51"/>
    <w:rsid w:val="00030303"/>
    <w:pPr>
      <w:spacing w:after="0" w:line="240" w:lineRule="auto"/>
    </w:pPr>
    <w:rPr>
      <w:rFonts w:ascii="Times New Roman" w:eastAsia="Times New Roman" w:hAnsi="Times New Roman" w:cs="Times New Roman"/>
      <w:color w:val="5F497A"/>
      <w:sz w:val="20"/>
      <w:szCs w:val="20"/>
      <w:lang w:eastAsia="en-AU"/>
    </w:rPr>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rPr>
      <w:tblPr/>
      <w:tcPr>
        <w:tcBorders>
          <w:bottom w:val="single" w:sz="12" w:space="0" w:color="B2A1C7"/>
        </w:tcBorders>
      </w:tcPr>
    </w:tblStylePr>
    <w:tblStylePr w:type="lastRow">
      <w:rPr>
        <w:b/>
        <w:bCs/>
      </w:rPr>
      <w:tblPr/>
      <w:tcPr>
        <w:tcBorders>
          <w:top w:val="double" w:sz="4" w:space="0" w:color="B2A1C7"/>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GridTable6Colorful-Accent51">
    <w:name w:val="Grid Table 6 Colorful - Accent 51"/>
    <w:basedOn w:val="TableNormal"/>
    <w:next w:val="GridTable6Colorful-Accent5"/>
    <w:uiPriority w:val="51"/>
    <w:rsid w:val="00030303"/>
    <w:pPr>
      <w:spacing w:after="0" w:line="240" w:lineRule="auto"/>
    </w:pPr>
    <w:rPr>
      <w:rFonts w:ascii="Times New Roman" w:eastAsia="Times New Roman" w:hAnsi="Times New Roman" w:cs="Times New Roman"/>
      <w:color w:val="31849B"/>
      <w:sz w:val="20"/>
      <w:szCs w:val="20"/>
      <w:lang w:eastAsia="en-AU"/>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bottom w:val="single" w:sz="12" w:space="0" w:color="92CDDC"/>
        </w:tcBorders>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6Colorful-Accent61">
    <w:name w:val="Grid Table 6 Colorful - Accent 61"/>
    <w:basedOn w:val="TableNormal"/>
    <w:next w:val="GridTable6Colorful-Accent6"/>
    <w:uiPriority w:val="51"/>
    <w:rsid w:val="00030303"/>
    <w:pPr>
      <w:spacing w:after="0" w:line="240" w:lineRule="auto"/>
    </w:pPr>
    <w:rPr>
      <w:rFonts w:ascii="Times New Roman" w:eastAsia="Times New Roman" w:hAnsi="Times New Roman" w:cs="Times New Roman"/>
      <w:color w:val="E36C0A"/>
      <w:sz w:val="20"/>
      <w:szCs w:val="20"/>
      <w:lang w:eastAsia="en-AU"/>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rPr>
      <w:tblPr/>
      <w:tcPr>
        <w:tcBorders>
          <w:bottom w:val="single" w:sz="12" w:space="0" w:color="FABF8F"/>
        </w:tcBorders>
      </w:tcPr>
    </w:tblStylePr>
    <w:tblStylePr w:type="lastRow">
      <w:rPr>
        <w:b/>
        <w:bCs/>
      </w:rPr>
      <w:tblPr/>
      <w:tcPr>
        <w:tcBorders>
          <w:top w:val="double" w:sz="4" w:space="0" w:color="FABF8F"/>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GridTable7Colorful1">
    <w:name w:val="Grid Table 7 Colorful1"/>
    <w:basedOn w:val="TableNormal"/>
    <w:next w:val="GridTable7Colorful"/>
    <w:uiPriority w:val="52"/>
    <w:rsid w:val="00030303"/>
    <w:pPr>
      <w:spacing w:after="0" w:line="240" w:lineRule="auto"/>
    </w:pPr>
    <w:rPr>
      <w:rFonts w:ascii="Times New Roman" w:eastAsia="Times New Roman" w:hAnsi="Times New Roman" w:cs="Times New Roman"/>
      <w:color w:val="000000"/>
      <w:sz w:val="20"/>
      <w:szCs w:val="20"/>
      <w:lang w:eastAsia="en-AU"/>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7Colorful-Accent11">
    <w:name w:val="Grid Table 7 Colorful - Accent 11"/>
    <w:basedOn w:val="TableNormal"/>
    <w:next w:val="GridTable7Colorful-Accent1"/>
    <w:uiPriority w:val="52"/>
    <w:rsid w:val="00030303"/>
    <w:pPr>
      <w:spacing w:after="0" w:line="240" w:lineRule="auto"/>
    </w:pPr>
    <w:rPr>
      <w:rFonts w:ascii="Times New Roman" w:eastAsia="Times New Roman" w:hAnsi="Times New Roman" w:cs="Times New Roman"/>
      <w:color w:val="365F91"/>
      <w:sz w:val="20"/>
      <w:szCs w:val="20"/>
      <w:lang w:eastAsia="en-AU"/>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7Colorful-Accent21">
    <w:name w:val="Grid Table 7 Colorful - Accent 21"/>
    <w:basedOn w:val="TableNormal"/>
    <w:next w:val="GridTable7Colorful-Accent2"/>
    <w:uiPriority w:val="52"/>
    <w:rsid w:val="00030303"/>
    <w:pPr>
      <w:spacing w:after="0" w:line="240" w:lineRule="auto"/>
    </w:pPr>
    <w:rPr>
      <w:rFonts w:ascii="Times New Roman" w:eastAsia="Times New Roman" w:hAnsi="Times New Roman" w:cs="Times New Roman"/>
      <w:color w:val="943634"/>
      <w:sz w:val="20"/>
      <w:szCs w:val="20"/>
      <w:lang w:eastAsia="en-AU"/>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2DBDB"/>
      </w:tcPr>
    </w:tblStylePr>
    <w:tblStylePr w:type="band1Horz">
      <w:tblPr/>
      <w:tcPr>
        <w:shd w:val="clear" w:color="auto" w:fill="F2DBDB"/>
      </w:tcPr>
    </w:tblStylePr>
    <w:tblStylePr w:type="neCell">
      <w:tblPr/>
      <w:tcPr>
        <w:tcBorders>
          <w:bottom w:val="single" w:sz="4" w:space="0" w:color="D99594"/>
        </w:tcBorders>
      </w:tcPr>
    </w:tblStylePr>
    <w:tblStylePr w:type="nwCell">
      <w:tblPr/>
      <w:tcPr>
        <w:tcBorders>
          <w:bottom w:val="single" w:sz="4" w:space="0" w:color="D99594"/>
        </w:tcBorders>
      </w:tcPr>
    </w:tblStylePr>
    <w:tblStylePr w:type="seCell">
      <w:tblPr/>
      <w:tcPr>
        <w:tcBorders>
          <w:top w:val="single" w:sz="4" w:space="0" w:color="D99594"/>
        </w:tcBorders>
      </w:tcPr>
    </w:tblStylePr>
    <w:tblStylePr w:type="swCell">
      <w:tblPr/>
      <w:tcPr>
        <w:tcBorders>
          <w:top w:val="single" w:sz="4" w:space="0" w:color="D99594"/>
        </w:tcBorders>
      </w:tcPr>
    </w:tblStylePr>
  </w:style>
  <w:style w:type="table" w:customStyle="1" w:styleId="GridTable7Colorful-Accent31">
    <w:name w:val="Grid Table 7 Colorful - Accent 31"/>
    <w:basedOn w:val="TableNormal"/>
    <w:next w:val="GridTable7Colorful-Accent3"/>
    <w:uiPriority w:val="52"/>
    <w:rsid w:val="00030303"/>
    <w:pPr>
      <w:spacing w:after="0" w:line="240" w:lineRule="auto"/>
    </w:pPr>
    <w:rPr>
      <w:rFonts w:ascii="Times New Roman" w:eastAsia="Times New Roman" w:hAnsi="Times New Roman" w:cs="Times New Roman"/>
      <w:color w:val="76923C"/>
      <w:sz w:val="20"/>
      <w:szCs w:val="20"/>
      <w:lang w:eastAsia="en-AU"/>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AF1DD"/>
      </w:tcPr>
    </w:tblStylePr>
    <w:tblStylePr w:type="band1Horz">
      <w:tblPr/>
      <w:tcPr>
        <w:shd w:val="clear" w:color="auto" w:fill="EAF1DD"/>
      </w:tcPr>
    </w:tblStylePr>
    <w:tblStylePr w:type="neCell">
      <w:tblPr/>
      <w:tcPr>
        <w:tcBorders>
          <w:bottom w:val="single" w:sz="4" w:space="0" w:color="C2D69B"/>
        </w:tcBorders>
      </w:tcPr>
    </w:tblStylePr>
    <w:tblStylePr w:type="nwCell">
      <w:tblPr/>
      <w:tcPr>
        <w:tcBorders>
          <w:bottom w:val="single" w:sz="4" w:space="0" w:color="C2D69B"/>
        </w:tcBorders>
      </w:tcPr>
    </w:tblStylePr>
    <w:tblStylePr w:type="seCell">
      <w:tblPr/>
      <w:tcPr>
        <w:tcBorders>
          <w:top w:val="single" w:sz="4" w:space="0" w:color="C2D69B"/>
        </w:tcBorders>
      </w:tcPr>
    </w:tblStylePr>
    <w:tblStylePr w:type="swCell">
      <w:tblPr/>
      <w:tcPr>
        <w:tcBorders>
          <w:top w:val="single" w:sz="4" w:space="0" w:color="C2D69B"/>
        </w:tcBorders>
      </w:tcPr>
    </w:tblStylePr>
  </w:style>
  <w:style w:type="table" w:customStyle="1" w:styleId="GridTable7Colorful-Accent41">
    <w:name w:val="Grid Table 7 Colorful - Accent 41"/>
    <w:basedOn w:val="TableNormal"/>
    <w:next w:val="GridTable7Colorful-Accent4"/>
    <w:uiPriority w:val="52"/>
    <w:rsid w:val="00030303"/>
    <w:pPr>
      <w:spacing w:after="0" w:line="240" w:lineRule="auto"/>
    </w:pPr>
    <w:rPr>
      <w:rFonts w:ascii="Times New Roman" w:eastAsia="Times New Roman" w:hAnsi="Times New Roman" w:cs="Times New Roman"/>
      <w:color w:val="5F497A"/>
      <w:sz w:val="20"/>
      <w:szCs w:val="20"/>
      <w:lang w:eastAsia="en-AU"/>
    </w:rPr>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5DFEC"/>
      </w:tcPr>
    </w:tblStylePr>
    <w:tblStylePr w:type="band1Horz">
      <w:tblPr/>
      <w:tcPr>
        <w:shd w:val="clear" w:color="auto" w:fill="E5DFEC"/>
      </w:tcPr>
    </w:tblStylePr>
    <w:tblStylePr w:type="neCell">
      <w:tblPr/>
      <w:tcPr>
        <w:tcBorders>
          <w:bottom w:val="single" w:sz="4" w:space="0" w:color="B2A1C7"/>
        </w:tcBorders>
      </w:tcPr>
    </w:tblStylePr>
    <w:tblStylePr w:type="nwCell">
      <w:tblPr/>
      <w:tcPr>
        <w:tcBorders>
          <w:bottom w:val="single" w:sz="4" w:space="0" w:color="B2A1C7"/>
        </w:tcBorders>
      </w:tcPr>
    </w:tblStylePr>
    <w:tblStylePr w:type="seCell">
      <w:tblPr/>
      <w:tcPr>
        <w:tcBorders>
          <w:top w:val="single" w:sz="4" w:space="0" w:color="B2A1C7"/>
        </w:tcBorders>
      </w:tcPr>
    </w:tblStylePr>
    <w:tblStylePr w:type="swCell">
      <w:tblPr/>
      <w:tcPr>
        <w:tcBorders>
          <w:top w:val="single" w:sz="4" w:space="0" w:color="B2A1C7"/>
        </w:tcBorders>
      </w:tcPr>
    </w:tblStylePr>
  </w:style>
  <w:style w:type="table" w:customStyle="1" w:styleId="GridTable7Colorful-Accent51">
    <w:name w:val="Grid Table 7 Colorful - Accent 51"/>
    <w:basedOn w:val="TableNormal"/>
    <w:next w:val="GridTable7Colorful-Accent5"/>
    <w:uiPriority w:val="52"/>
    <w:rsid w:val="00030303"/>
    <w:pPr>
      <w:spacing w:after="0" w:line="240" w:lineRule="auto"/>
    </w:pPr>
    <w:rPr>
      <w:rFonts w:ascii="Times New Roman" w:eastAsia="Times New Roman" w:hAnsi="Times New Roman" w:cs="Times New Roman"/>
      <w:color w:val="31849B"/>
      <w:sz w:val="20"/>
      <w:szCs w:val="20"/>
      <w:lang w:eastAsia="en-AU"/>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AEEF3"/>
      </w:tcPr>
    </w:tblStylePr>
    <w:tblStylePr w:type="band1Horz">
      <w:tblPr/>
      <w:tcPr>
        <w:shd w:val="clear" w:color="auto" w:fill="DAEEF3"/>
      </w:tcPr>
    </w:tblStylePr>
    <w:tblStylePr w:type="neCell">
      <w:tblPr/>
      <w:tcPr>
        <w:tcBorders>
          <w:bottom w:val="single" w:sz="4" w:space="0" w:color="92CDDC"/>
        </w:tcBorders>
      </w:tcPr>
    </w:tblStylePr>
    <w:tblStylePr w:type="nwCell">
      <w:tblPr/>
      <w:tcPr>
        <w:tcBorders>
          <w:bottom w:val="single" w:sz="4" w:space="0" w:color="92CDDC"/>
        </w:tcBorders>
      </w:tcPr>
    </w:tblStylePr>
    <w:tblStylePr w:type="seCell">
      <w:tblPr/>
      <w:tcPr>
        <w:tcBorders>
          <w:top w:val="single" w:sz="4" w:space="0" w:color="92CDDC"/>
        </w:tcBorders>
      </w:tcPr>
    </w:tblStylePr>
    <w:tblStylePr w:type="swCell">
      <w:tblPr/>
      <w:tcPr>
        <w:tcBorders>
          <w:top w:val="single" w:sz="4" w:space="0" w:color="92CDDC"/>
        </w:tcBorders>
      </w:tcPr>
    </w:tblStylePr>
  </w:style>
  <w:style w:type="table" w:customStyle="1" w:styleId="GridTable7Colorful-Accent61">
    <w:name w:val="Grid Table 7 Colorful - Accent 61"/>
    <w:basedOn w:val="TableNormal"/>
    <w:next w:val="GridTable7Colorful-Accent6"/>
    <w:uiPriority w:val="52"/>
    <w:rsid w:val="00030303"/>
    <w:pPr>
      <w:spacing w:after="0" w:line="240" w:lineRule="auto"/>
    </w:pPr>
    <w:rPr>
      <w:rFonts w:ascii="Times New Roman" w:eastAsia="Times New Roman" w:hAnsi="Times New Roman" w:cs="Times New Roman"/>
      <w:color w:val="E36C0A"/>
      <w:sz w:val="20"/>
      <w:szCs w:val="20"/>
      <w:lang w:eastAsia="en-AU"/>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9D9"/>
      </w:tcPr>
    </w:tblStylePr>
    <w:tblStylePr w:type="band1Horz">
      <w:tblPr/>
      <w:tcPr>
        <w:shd w:val="clear" w:color="auto" w:fill="FDE9D9"/>
      </w:tcPr>
    </w:tblStylePr>
    <w:tblStylePr w:type="neCell">
      <w:tblPr/>
      <w:tcPr>
        <w:tcBorders>
          <w:bottom w:val="single" w:sz="4" w:space="0" w:color="FABF8F"/>
        </w:tcBorders>
      </w:tcPr>
    </w:tblStylePr>
    <w:tblStylePr w:type="nwCell">
      <w:tblPr/>
      <w:tcPr>
        <w:tcBorders>
          <w:bottom w:val="single" w:sz="4" w:space="0" w:color="FABF8F"/>
        </w:tcBorders>
      </w:tcPr>
    </w:tblStylePr>
    <w:tblStylePr w:type="seCell">
      <w:tblPr/>
      <w:tcPr>
        <w:tcBorders>
          <w:top w:val="single" w:sz="4" w:space="0" w:color="FABF8F"/>
        </w:tcBorders>
      </w:tcPr>
    </w:tblStylePr>
    <w:tblStylePr w:type="swCell">
      <w:tblPr/>
      <w:tcPr>
        <w:tcBorders>
          <w:top w:val="single" w:sz="4" w:space="0" w:color="FABF8F"/>
        </w:tcBorders>
      </w:tcPr>
    </w:tblStylePr>
  </w:style>
  <w:style w:type="table" w:customStyle="1" w:styleId="ListTable1Light1">
    <w:name w:val="List Table 1 Light1"/>
    <w:basedOn w:val="TableNormal"/>
    <w:next w:val="ListTable1Light"/>
    <w:uiPriority w:val="46"/>
    <w:rsid w:val="00030303"/>
    <w:pPr>
      <w:spacing w:after="0" w:line="240" w:lineRule="auto"/>
    </w:pPr>
    <w:rPr>
      <w:rFonts w:ascii="Times New Roman" w:eastAsia="Times New Roman" w:hAnsi="Times New Roman" w:cs="Times New Roman"/>
      <w:sz w:val="20"/>
      <w:szCs w:val="20"/>
      <w:lang w:eastAsia="en-AU"/>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1Light-Accent11">
    <w:name w:val="List Table 1 Light - Accent 11"/>
    <w:basedOn w:val="TableNormal"/>
    <w:next w:val="ListTable1Light-Accent1"/>
    <w:uiPriority w:val="46"/>
    <w:rsid w:val="00030303"/>
    <w:pPr>
      <w:spacing w:after="0" w:line="240" w:lineRule="auto"/>
    </w:pPr>
    <w:rPr>
      <w:rFonts w:ascii="Times New Roman" w:eastAsia="Times New Roman" w:hAnsi="Times New Roman" w:cs="Times New Roman"/>
      <w:sz w:val="20"/>
      <w:szCs w:val="20"/>
      <w:lang w:eastAsia="en-AU"/>
    </w:rPr>
    <w:tblPr>
      <w:tblStyleRowBandSize w:val="1"/>
      <w:tblStyleColBandSize w:val="1"/>
    </w:tblPr>
    <w:tblStylePr w:type="firstRow">
      <w:rPr>
        <w:b/>
        <w:bCs/>
      </w:rPr>
      <w:tblPr/>
      <w:tcPr>
        <w:tcBorders>
          <w:bottom w:val="single" w:sz="4" w:space="0" w:color="95B3D7"/>
        </w:tcBorders>
      </w:tcPr>
    </w:tblStylePr>
    <w:tblStylePr w:type="lastRow">
      <w:rPr>
        <w:b/>
        <w:bCs/>
      </w:rPr>
      <w:tblPr/>
      <w:tcPr>
        <w:tcBorders>
          <w:top w:val="sing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ListTable1Light-Accent21">
    <w:name w:val="List Table 1 Light - Accent 21"/>
    <w:basedOn w:val="TableNormal"/>
    <w:next w:val="ListTable1Light-Accent2"/>
    <w:uiPriority w:val="46"/>
    <w:rsid w:val="00030303"/>
    <w:pPr>
      <w:spacing w:after="0" w:line="240" w:lineRule="auto"/>
    </w:pPr>
    <w:rPr>
      <w:rFonts w:ascii="Times New Roman" w:eastAsia="Times New Roman" w:hAnsi="Times New Roman" w:cs="Times New Roman"/>
      <w:sz w:val="20"/>
      <w:szCs w:val="20"/>
      <w:lang w:eastAsia="en-AU"/>
    </w:rPr>
    <w:tblPr>
      <w:tblStyleRowBandSize w:val="1"/>
      <w:tblStyleColBandSize w:val="1"/>
    </w:tblPr>
    <w:tblStylePr w:type="firstRow">
      <w:rPr>
        <w:b/>
        <w:bCs/>
      </w:rPr>
      <w:tblPr/>
      <w:tcPr>
        <w:tcBorders>
          <w:bottom w:val="single" w:sz="4" w:space="0" w:color="D99594"/>
        </w:tcBorders>
      </w:tcPr>
    </w:tblStylePr>
    <w:tblStylePr w:type="lastRow">
      <w:rPr>
        <w:b/>
        <w:bCs/>
      </w:rPr>
      <w:tblPr/>
      <w:tcPr>
        <w:tcBorders>
          <w:top w:val="single" w:sz="4" w:space="0" w:color="D99594"/>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ListTable1Light-Accent31">
    <w:name w:val="List Table 1 Light - Accent 31"/>
    <w:basedOn w:val="TableNormal"/>
    <w:next w:val="ListTable1Light-Accent3"/>
    <w:uiPriority w:val="46"/>
    <w:rsid w:val="00030303"/>
    <w:pPr>
      <w:spacing w:after="0" w:line="240" w:lineRule="auto"/>
    </w:pPr>
    <w:rPr>
      <w:rFonts w:ascii="Times New Roman" w:eastAsia="Times New Roman" w:hAnsi="Times New Roman" w:cs="Times New Roman"/>
      <w:sz w:val="20"/>
      <w:szCs w:val="20"/>
      <w:lang w:eastAsia="en-AU"/>
    </w:rPr>
    <w:tblPr>
      <w:tblStyleRowBandSize w:val="1"/>
      <w:tblStyleColBandSize w:val="1"/>
    </w:tblPr>
    <w:tblStylePr w:type="firstRow">
      <w:rPr>
        <w:b/>
        <w:bCs/>
      </w:rPr>
      <w:tblPr/>
      <w:tcPr>
        <w:tcBorders>
          <w:bottom w:val="single" w:sz="4" w:space="0" w:color="C2D69B"/>
        </w:tcBorders>
      </w:tcPr>
    </w:tblStylePr>
    <w:tblStylePr w:type="lastRow">
      <w:rPr>
        <w:b/>
        <w:bCs/>
      </w:rPr>
      <w:tblPr/>
      <w:tcPr>
        <w:tcBorders>
          <w:top w:val="sing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ListTable1Light-Accent41">
    <w:name w:val="List Table 1 Light - Accent 41"/>
    <w:basedOn w:val="TableNormal"/>
    <w:next w:val="ListTable1Light-Accent4"/>
    <w:uiPriority w:val="46"/>
    <w:rsid w:val="00030303"/>
    <w:pPr>
      <w:spacing w:after="0" w:line="240" w:lineRule="auto"/>
    </w:pPr>
    <w:rPr>
      <w:rFonts w:ascii="Times New Roman" w:eastAsia="Times New Roman" w:hAnsi="Times New Roman" w:cs="Times New Roman"/>
      <w:sz w:val="20"/>
      <w:szCs w:val="20"/>
      <w:lang w:eastAsia="en-AU"/>
    </w:rPr>
    <w:tblPr>
      <w:tblStyleRowBandSize w:val="1"/>
      <w:tblStyleColBandSize w:val="1"/>
    </w:tblPr>
    <w:tblStylePr w:type="firstRow">
      <w:rPr>
        <w:b/>
        <w:bCs/>
      </w:rPr>
      <w:tblPr/>
      <w:tcPr>
        <w:tcBorders>
          <w:bottom w:val="single" w:sz="4" w:space="0" w:color="B2A1C7"/>
        </w:tcBorders>
      </w:tcPr>
    </w:tblStylePr>
    <w:tblStylePr w:type="lastRow">
      <w:rPr>
        <w:b/>
        <w:bCs/>
      </w:rPr>
      <w:tblPr/>
      <w:tcPr>
        <w:tcBorders>
          <w:top w:val="single" w:sz="4" w:space="0" w:color="B2A1C7"/>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ListTable1Light-Accent51">
    <w:name w:val="List Table 1 Light - Accent 51"/>
    <w:basedOn w:val="TableNormal"/>
    <w:next w:val="ListTable1Light-Accent5"/>
    <w:uiPriority w:val="46"/>
    <w:rsid w:val="00030303"/>
    <w:pPr>
      <w:spacing w:after="0" w:line="240" w:lineRule="auto"/>
    </w:pPr>
    <w:rPr>
      <w:rFonts w:ascii="Times New Roman" w:eastAsia="Times New Roman" w:hAnsi="Times New Roman" w:cs="Times New Roman"/>
      <w:sz w:val="20"/>
      <w:szCs w:val="20"/>
      <w:lang w:eastAsia="en-AU"/>
    </w:rPr>
    <w:tblPr>
      <w:tblStyleRowBandSize w:val="1"/>
      <w:tblStyleColBandSize w:val="1"/>
    </w:tblPr>
    <w:tblStylePr w:type="firstRow">
      <w:rPr>
        <w:b/>
        <w:bCs/>
      </w:rPr>
      <w:tblPr/>
      <w:tcPr>
        <w:tcBorders>
          <w:bottom w:val="single" w:sz="4" w:space="0" w:color="92CDDC"/>
        </w:tcBorders>
      </w:tcPr>
    </w:tblStylePr>
    <w:tblStylePr w:type="lastRow">
      <w:rPr>
        <w:b/>
        <w:bCs/>
      </w:rPr>
      <w:tblPr/>
      <w:tcPr>
        <w:tcBorders>
          <w:top w:val="sing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1Light-Accent61">
    <w:name w:val="List Table 1 Light - Accent 61"/>
    <w:basedOn w:val="TableNormal"/>
    <w:next w:val="ListTable1Light-Accent6"/>
    <w:uiPriority w:val="46"/>
    <w:rsid w:val="00030303"/>
    <w:pPr>
      <w:spacing w:after="0" w:line="240" w:lineRule="auto"/>
    </w:pPr>
    <w:rPr>
      <w:rFonts w:ascii="Times New Roman" w:eastAsia="Times New Roman" w:hAnsi="Times New Roman" w:cs="Times New Roman"/>
      <w:sz w:val="20"/>
      <w:szCs w:val="20"/>
      <w:lang w:eastAsia="en-AU"/>
    </w:rPr>
    <w:tblPr>
      <w:tblStyleRowBandSize w:val="1"/>
      <w:tblStyleColBandSize w:val="1"/>
    </w:tblPr>
    <w:tblStylePr w:type="firstRow">
      <w:rPr>
        <w:b/>
        <w:bCs/>
      </w:rPr>
      <w:tblPr/>
      <w:tcPr>
        <w:tcBorders>
          <w:bottom w:val="single" w:sz="4" w:space="0" w:color="FABF8F"/>
        </w:tcBorders>
      </w:tcPr>
    </w:tblStylePr>
    <w:tblStylePr w:type="lastRow">
      <w:rPr>
        <w:b/>
        <w:bCs/>
      </w:rPr>
      <w:tblPr/>
      <w:tcPr>
        <w:tcBorders>
          <w:top w:val="single" w:sz="4" w:space="0" w:color="FABF8F"/>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ListTable21">
    <w:name w:val="List Table 21"/>
    <w:basedOn w:val="TableNormal"/>
    <w:next w:val="ListTable2"/>
    <w:uiPriority w:val="47"/>
    <w:rsid w:val="00030303"/>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2-Accent11">
    <w:name w:val="List Table 2 - Accent 11"/>
    <w:basedOn w:val="TableNormal"/>
    <w:next w:val="ListTable2-Accent1"/>
    <w:uiPriority w:val="47"/>
    <w:rsid w:val="00030303"/>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4" w:space="0" w:color="95B3D7"/>
        <w:bottom w:val="single" w:sz="4" w:space="0" w:color="95B3D7"/>
        <w:insideH w:val="single" w:sz="4" w:space="0" w:color="95B3D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ListTable2-Accent21">
    <w:name w:val="List Table 2 - Accent 21"/>
    <w:basedOn w:val="TableNormal"/>
    <w:next w:val="ListTable2-Accent2"/>
    <w:uiPriority w:val="47"/>
    <w:rsid w:val="00030303"/>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4" w:space="0" w:color="D99594"/>
        <w:bottom w:val="single" w:sz="4" w:space="0" w:color="D99594"/>
        <w:insideH w:val="single" w:sz="4" w:space="0" w:color="D99594"/>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ListTable2-Accent31">
    <w:name w:val="List Table 2 - Accent 31"/>
    <w:basedOn w:val="TableNormal"/>
    <w:next w:val="ListTable2-Accent3"/>
    <w:uiPriority w:val="47"/>
    <w:rsid w:val="00030303"/>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4" w:space="0" w:color="C2D69B"/>
        <w:bottom w:val="single" w:sz="4" w:space="0" w:color="C2D69B"/>
        <w:insideH w:val="single" w:sz="4" w:space="0" w:color="C2D69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ListTable2-Accent41">
    <w:name w:val="List Table 2 - Accent 41"/>
    <w:basedOn w:val="TableNormal"/>
    <w:next w:val="ListTable2-Accent4"/>
    <w:uiPriority w:val="47"/>
    <w:rsid w:val="00030303"/>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4" w:space="0" w:color="B2A1C7"/>
        <w:bottom w:val="single" w:sz="4" w:space="0" w:color="B2A1C7"/>
        <w:insideH w:val="single" w:sz="4" w:space="0" w:color="B2A1C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ListTable2-Accent51">
    <w:name w:val="List Table 2 - Accent 51"/>
    <w:basedOn w:val="TableNormal"/>
    <w:next w:val="ListTable2-Accent5"/>
    <w:uiPriority w:val="47"/>
    <w:rsid w:val="00030303"/>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4" w:space="0" w:color="92CDDC"/>
        <w:bottom w:val="single" w:sz="4" w:space="0" w:color="92CDDC"/>
        <w:insideH w:val="single" w:sz="4" w:space="0" w:color="92CDD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2-Accent61">
    <w:name w:val="List Table 2 - Accent 61"/>
    <w:basedOn w:val="TableNormal"/>
    <w:next w:val="ListTable2-Accent6"/>
    <w:uiPriority w:val="47"/>
    <w:rsid w:val="00030303"/>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4" w:space="0" w:color="FABF8F"/>
        <w:bottom w:val="single" w:sz="4" w:space="0" w:color="FABF8F"/>
        <w:insideH w:val="single" w:sz="4" w:space="0" w:color="FABF8F"/>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ListTable31">
    <w:name w:val="List Table 31"/>
    <w:basedOn w:val="TableNormal"/>
    <w:next w:val="ListTable3"/>
    <w:uiPriority w:val="48"/>
    <w:rsid w:val="00030303"/>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Accent11">
    <w:name w:val="List Table 3 - Accent 11"/>
    <w:basedOn w:val="TableNormal"/>
    <w:next w:val="ListTable3-Accent1"/>
    <w:uiPriority w:val="48"/>
    <w:rsid w:val="00030303"/>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ListTable3-Accent21">
    <w:name w:val="List Table 3 - Accent 21"/>
    <w:basedOn w:val="TableNormal"/>
    <w:next w:val="ListTable3-Accent2"/>
    <w:uiPriority w:val="48"/>
    <w:rsid w:val="00030303"/>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4" w:space="0" w:color="C0504D"/>
        <w:left w:val="single" w:sz="4" w:space="0" w:color="C0504D"/>
        <w:bottom w:val="single" w:sz="4" w:space="0" w:color="C0504D"/>
        <w:right w:val="single" w:sz="4" w:space="0" w:color="C0504D"/>
      </w:tblBorders>
    </w:tblPr>
    <w:tblStylePr w:type="firstRow">
      <w:rPr>
        <w:b/>
        <w:bCs/>
        <w:color w:val="FFFFFF"/>
      </w:rPr>
      <w:tblPr/>
      <w:tcPr>
        <w:shd w:val="clear" w:color="auto" w:fill="C0504D"/>
      </w:tcPr>
    </w:tblStylePr>
    <w:tblStylePr w:type="lastRow">
      <w:rPr>
        <w:b/>
        <w:bCs/>
      </w:rPr>
      <w:tblPr/>
      <w:tcPr>
        <w:tcBorders>
          <w:top w:val="double" w:sz="4" w:space="0" w:color="C0504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0504D"/>
          <w:right w:val="single" w:sz="4" w:space="0" w:color="C0504D"/>
        </w:tcBorders>
      </w:tcPr>
    </w:tblStylePr>
    <w:tblStylePr w:type="band1Horz">
      <w:tblPr/>
      <w:tcPr>
        <w:tcBorders>
          <w:top w:val="single" w:sz="4" w:space="0" w:color="C0504D"/>
          <w:bottom w:val="single" w:sz="4" w:space="0" w:color="C0504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left w:val="nil"/>
        </w:tcBorders>
      </w:tcPr>
    </w:tblStylePr>
    <w:tblStylePr w:type="swCell">
      <w:tblPr/>
      <w:tcPr>
        <w:tcBorders>
          <w:top w:val="double" w:sz="4" w:space="0" w:color="C0504D"/>
          <w:right w:val="nil"/>
        </w:tcBorders>
      </w:tcPr>
    </w:tblStylePr>
  </w:style>
  <w:style w:type="table" w:customStyle="1" w:styleId="ListTable3-Accent31">
    <w:name w:val="List Table 3 - Accent 31"/>
    <w:basedOn w:val="TableNormal"/>
    <w:next w:val="ListTable3-Accent3"/>
    <w:uiPriority w:val="48"/>
    <w:rsid w:val="00030303"/>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4" w:space="0" w:color="9BBB59"/>
        <w:left w:val="single" w:sz="4" w:space="0" w:color="9BBB59"/>
        <w:bottom w:val="single" w:sz="4" w:space="0" w:color="9BBB59"/>
        <w:right w:val="single" w:sz="4" w:space="0" w:color="9BBB59"/>
      </w:tblBorders>
    </w:tblPr>
    <w:tblStylePr w:type="firstRow">
      <w:rPr>
        <w:b/>
        <w:bCs/>
        <w:color w:val="FFFFFF"/>
      </w:rPr>
      <w:tblPr/>
      <w:tcPr>
        <w:shd w:val="clear" w:color="auto" w:fill="9BBB59"/>
      </w:tcPr>
    </w:tblStylePr>
    <w:tblStylePr w:type="lastRow">
      <w:rPr>
        <w:b/>
        <w:bCs/>
      </w:rPr>
      <w:tblPr/>
      <w:tcPr>
        <w:tcBorders>
          <w:top w:val="double" w:sz="4" w:space="0" w:color="9BBB59"/>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9BBB59"/>
          <w:right w:val="single" w:sz="4" w:space="0" w:color="9BBB59"/>
        </w:tcBorders>
      </w:tcPr>
    </w:tblStylePr>
    <w:tblStylePr w:type="band1Horz">
      <w:tblPr/>
      <w:tcPr>
        <w:tcBorders>
          <w:top w:val="single" w:sz="4" w:space="0" w:color="9BBB59"/>
          <w:bottom w:val="single" w:sz="4" w:space="0" w:color="9BBB59"/>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left w:val="nil"/>
        </w:tcBorders>
      </w:tcPr>
    </w:tblStylePr>
    <w:tblStylePr w:type="swCell">
      <w:tblPr/>
      <w:tcPr>
        <w:tcBorders>
          <w:top w:val="double" w:sz="4" w:space="0" w:color="9BBB59"/>
          <w:right w:val="nil"/>
        </w:tcBorders>
      </w:tcPr>
    </w:tblStylePr>
  </w:style>
  <w:style w:type="table" w:customStyle="1" w:styleId="ListTable3-Accent41">
    <w:name w:val="List Table 3 - Accent 41"/>
    <w:basedOn w:val="TableNormal"/>
    <w:next w:val="ListTable3-Accent4"/>
    <w:uiPriority w:val="48"/>
    <w:rsid w:val="00030303"/>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4" w:space="0" w:color="8064A2"/>
        <w:left w:val="single" w:sz="4" w:space="0" w:color="8064A2"/>
        <w:bottom w:val="single" w:sz="4" w:space="0" w:color="8064A2"/>
        <w:right w:val="single" w:sz="4" w:space="0" w:color="8064A2"/>
      </w:tblBorders>
    </w:tblPr>
    <w:tblStylePr w:type="firstRow">
      <w:rPr>
        <w:b/>
        <w:bCs/>
        <w:color w:val="FFFFFF"/>
      </w:rPr>
      <w:tblPr/>
      <w:tcPr>
        <w:shd w:val="clear" w:color="auto" w:fill="8064A2"/>
      </w:tcPr>
    </w:tblStylePr>
    <w:tblStylePr w:type="lastRow">
      <w:rPr>
        <w:b/>
        <w:bCs/>
      </w:rPr>
      <w:tblPr/>
      <w:tcPr>
        <w:tcBorders>
          <w:top w:val="double" w:sz="4" w:space="0" w:color="8064A2"/>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8064A2"/>
          <w:right w:val="single" w:sz="4" w:space="0" w:color="8064A2"/>
        </w:tcBorders>
      </w:tcPr>
    </w:tblStylePr>
    <w:tblStylePr w:type="band1Horz">
      <w:tblPr/>
      <w:tcPr>
        <w:tcBorders>
          <w:top w:val="single" w:sz="4" w:space="0" w:color="8064A2"/>
          <w:bottom w:val="single" w:sz="4" w:space="0" w:color="8064A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left w:val="nil"/>
        </w:tcBorders>
      </w:tcPr>
    </w:tblStylePr>
    <w:tblStylePr w:type="swCell">
      <w:tblPr/>
      <w:tcPr>
        <w:tcBorders>
          <w:top w:val="double" w:sz="4" w:space="0" w:color="8064A2"/>
          <w:right w:val="nil"/>
        </w:tcBorders>
      </w:tcPr>
    </w:tblStylePr>
  </w:style>
  <w:style w:type="table" w:customStyle="1" w:styleId="ListTable3-Accent51">
    <w:name w:val="List Table 3 - Accent 51"/>
    <w:basedOn w:val="TableNormal"/>
    <w:next w:val="ListTable3-Accent5"/>
    <w:uiPriority w:val="48"/>
    <w:rsid w:val="00030303"/>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4" w:space="0" w:color="4BACC6"/>
        <w:left w:val="single" w:sz="4" w:space="0" w:color="4BACC6"/>
        <w:bottom w:val="single" w:sz="4" w:space="0" w:color="4BACC6"/>
        <w:right w:val="single" w:sz="4" w:space="0" w:color="4BACC6"/>
      </w:tblBorders>
    </w:tblPr>
    <w:tblStylePr w:type="firstRow">
      <w:rPr>
        <w:b/>
        <w:bCs/>
        <w:color w:val="FFFFFF"/>
      </w:rPr>
      <w:tblPr/>
      <w:tcPr>
        <w:shd w:val="clear" w:color="auto" w:fill="4BACC6"/>
      </w:tcPr>
    </w:tblStylePr>
    <w:tblStylePr w:type="lastRow">
      <w:rPr>
        <w:b/>
        <w:bCs/>
      </w:rPr>
      <w:tblPr/>
      <w:tcPr>
        <w:tcBorders>
          <w:top w:val="double" w:sz="4" w:space="0" w:color="4BACC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BACC6"/>
          <w:right w:val="single" w:sz="4" w:space="0" w:color="4BACC6"/>
        </w:tcBorders>
      </w:tcPr>
    </w:tblStylePr>
    <w:tblStylePr w:type="band1Horz">
      <w:tblPr/>
      <w:tcPr>
        <w:tcBorders>
          <w:top w:val="single" w:sz="4" w:space="0" w:color="4BACC6"/>
          <w:bottom w:val="single" w:sz="4" w:space="0" w:color="4BACC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left w:val="nil"/>
        </w:tcBorders>
      </w:tcPr>
    </w:tblStylePr>
    <w:tblStylePr w:type="swCell">
      <w:tblPr/>
      <w:tcPr>
        <w:tcBorders>
          <w:top w:val="double" w:sz="4" w:space="0" w:color="4BACC6"/>
          <w:right w:val="nil"/>
        </w:tcBorders>
      </w:tcPr>
    </w:tblStylePr>
  </w:style>
  <w:style w:type="table" w:customStyle="1" w:styleId="ListTable3-Accent61">
    <w:name w:val="List Table 3 - Accent 61"/>
    <w:basedOn w:val="TableNormal"/>
    <w:next w:val="ListTable3-Accent6"/>
    <w:uiPriority w:val="48"/>
    <w:rsid w:val="00030303"/>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4" w:space="0" w:color="F79646"/>
        <w:left w:val="single" w:sz="4" w:space="0" w:color="F79646"/>
        <w:bottom w:val="single" w:sz="4" w:space="0" w:color="F79646"/>
        <w:right w:val="single" w:sz="4" w:space="0" w:color="F79646"/>
      </w:tblBorders>
    </w:tblPr>
    <w:tblStylePr w:type="firstRow">
      <w:rPr>
        <w:b/>
        <w:bCs/>
        <w:color w:val="FFFFFF"/>
      </w:rPr>
      <w:tblPr/>
      <w:tcPr>
        <w:shd w:val="clear" w:color="auto" w:fill="F79646"/>
      </w:tcPr>
    </w:tblStylePr>
    <w:tblStylePr w:type="lastRow">
      <w:rPr>
        <w:b/>
        <w:bCs/>
      </w:rPr>
      <w:tblPr/>
      <w:tcPr>
        <w:tcBorders>
          <w:top w:val="double" w:sz="4" w:space="0" w:color="F7964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79646"/>
          <w:right w:val="single" w:sz="4" w:space="0" w:color="F79646"/>
        </w:tcBorders>
      </w:tcPr>
    </w:tblStylePr>
    <w:tblStylePr w:type="band1Horz">
      <w:tblPr/>
      <w:tcPr>
        <w:tcBorders>
          <w:top w:val="single" w:sz="4" w:space="0" w:color="F79646"/>
          <w:bottom w:val="single" w:sz="4" w:space="0" w:color="F7964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left w:val="nil"/>
        </w:tcBorders>
      </w:tcPr>
    </w:tblStylePr>
    <w:tblStylePr w:type="swCell">
      <w:tblPr/>
      <w:tcPr>
        <w:tcBorders>
          <w:top w:val="double" w:sz="4" w:space="0" w:color="F79646"/>
          <w:right w:val="nil"/>
        </w:tcBorders>
      </w:tcPr>
    </w:tblStylePr>
  </w:style>
  <w:style w:type="table" w:customStyle="1" w:styleId="ListTable41">
    <w:name w:val="List Table 41"/>
    <w:basedOn w:val="TableNormal"/>
    <w:next w:val="ListTable4"/>
    <w:uiPriority w:val="49"/>
    <w:rsid w:val="00030303"/>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4-Accent11">
    <w:name w:val="List Table 4 - Accent 11"/>
    <w:basedOn w:val="TableNormal"/>
    <w:next w:val="ListTable4-Accent1"/>
    <w:uiPriority w:val="49"/>
    <w:rsid w:val="00030303"/>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ListTable4-Accent21">
    <w:name w:val="List Table 4 - Accent 21"/>
    <w:basedOn w:val="TableNormal"/>
    <w:next w:val="ListTable4-Accent2"/>
    <w:uiPriority w:val="49"/>
    <w:rsid w:val="00030303"/>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tblBorders>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tcBorders>
        <w:shd w:val="clear" w:color="auto" w:fill="C0504D"/>
      </w:tcPr>
    </w:tblStylePr>
    <w:tblStylePr w:type="lastRow">
      <w:rPr>
        <w:b/>
        <w:bCs/>
      </w:rPr>
      <w:tblPr/>
      <w:tcPr>
        <w:tcBorders>
          <w:top w:val="double" w:sz="4" w:space="0" w:color="D99594"/>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ListTable4-Accent31">
    <w:name w:val="List Table 4 - Accent 31"/>
    <w:basedOn w:val="TableNormal"/>
    <w:next w:val="ListTable4-Accent3"/>
    <w:uiPriority w:val="49"/>
    <w:rsid w:val="00030303"/>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tcBorders>
        <w:shd w:val="clear" w:color="auto" w:fill="9BBB59"/>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ListTable4-Accent41">
    <w:name w:val="List Table 4 - Accent 41"/>
    <w:basedOn w:val="TableNormal"/>
    <w:next w:val="ListTable4-Accent4"/>
    <w:uiPriority w:val="49"/>
    <w:rsid w:val="00030303"/>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tblBorders>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tcBorders>
        <w:shd w:val="clear" w:color="auto" w:fill="8064A2"/>
      </w:tcPr>
    </w:tblStylePr>
    <w:tblStylePr w:type="lastRow">
      <w:rPr>
        <w:b/>
        <w:bCs/>
      </w:rPr>
      <w:tblPr/>
      <w:tcPr>
        <w:tcBorders>
          <w:top w:val="double" w:sz="4" w:space="0" w:color="B2A1C7"/>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ListTable4-Accent51">
    <w:name w:val="List Table 4 - Accent 51"/>
    <w:basedOn w:val="TableNormal"/>
    <w:next w:val="ListTable4-Accent5"/>
    <w:uiPriority w:val="49"/>
    <w:rsid w:val="00030303"/>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tcBorders>
        <w:shd w:val="clear" w:color="auto" w:fill="4BACC6"/>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4-Accent61">
    <w:name w:val="List Table 4 - Accent 61"/>
    <w:basedOn w:val="TableNormal"/>
    <w:next w:val="ListTable4-Accent6"/>
    <w:uiPriority w:val="49"/>
    <w:rsid w:val="00030303"/>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tcBorders>
        <w:shd w:val="clear" w:color="auto" w:fill="F79646"/>
      </w:tcPr>
    </w:tblStylePr>
    <w:tblStylePr w:type="lastRow">
      <w:rPr>
        <w:b/>
        <w:bCs/>
      </w:rPr>
      <w:tblPr/>
      <w:tcPr>
        <w:tcBorders>
          <w:top w:val="double" w:sz="4" w:space="0" w:color="FABF8F"/>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ListTable5Dark1">
    <w:name w:val="List Table 5 Dark1"/>
    <w:basedOn w:val="TableNormal"/>
    <w:next w:val="ListTable5Dark"/>
    <w:uiPriority w:val="50"/>
    <w:rsid w:val="00030303"/>
    <w:pPr>
      <w:spacing w:after="0" w:line="240" w:lineRule="auto"/>
    </w:pPr>
    <w:rPr>
      <w:rFonts w:ascii="Times New Roman" w:eastAsia="Times New Roman" w:hAnsi="Times New Roman" w:cs="Times New Roman"/>
      <w:color w:val="FFFFFF"/>
      <w:sz w:val="20"/>
      <w:szCs w:val="20"/>
      <w:lang w:eastAsia="en-AU"/>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next w:val="ListTable5Dark-Accent1"/>
    <w:uiPriority w:val="50"/>
    <w:rsid w:val="00030303"/>
    <w:pPr>
      <w:spacing w:after="0" w:line="240" w:lineRule="auto"/>
    </w:pPr>
    <w:rPr>
      <w:rFonts w:ascii="Times New Roman" w:eastAsia="Times New Roman" w:hAnsi="Times New Roman" w:cs="Times New Roman"/>
      <w:color w:val="FFFFFF"/>
      <w:sz w:val="20"/>
      <w:szCs w:val="20"/>
      <w:lang w:eastAsia="en-AU"/>
    </w:rPr>
    <w:tblPr>
      <w:tblStyleRowBandSize w:val="1"/>
      <w:tblStyleColBandSize w:val="1"/>
      <w:tblBorders>
        <w:top w:val="single" w:sz="24" w:space="0" w:color="4F81BD"/>
        <w:left w:val="single" w:sz="24" w:space="0" w:color="4F81BD"/>
        <w:bottom w:val="single" w:sz="24" w:space="0" w:color="4F81BD"/>
        <w:right w:val="single" w:sz="24" w:space="0" w:color="4F81BD"/>
      </w:tblBorders>
    </w:tblPr>
    <w:tcPr>
      <w:shd w:val="clear" w:color="auto" w:fill="4F81BD"/>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next w:val="ListTable5Dark-Accent2"/>
    <w:uiPriority w:val="50"/>
    <w:rsid w:val="00030303"/>
    <w:pPr>
      <w:spacing w:after="0" w:line="240" w:lineRule="auto"/>
    </w:pPr>
    <w:rPr>
      <w:rFonts w:ascii="Times New Roman" w:eastAsia="Times New Roman" w:hAnsi="Times New Roman" w:cs="Times New Roman"/>
      <w:color w:val="FFFFFF"/>
      <w:sz w:val="20"/>
      <w:szCs w:val="20"/>
      <w:lang w:eastAsia="en-AU"/>
    </w:rPr>
    <w:tblPr>
      <w:tblStyleRowBandSize w:val="1"/>
      <w:tblStyleColBandSize w:val="1"/>
      <w:tblBorders>
        <w:top w:val="single" w:sz="24" w:space="0" w:color="C0504D"/>
        <w:left w:val="single" w:sz="24" w:space="0" w:color="C0504D"/>
        <w:bottom w:val="single" w:sz="24" w:space="0" w:color="C0504D"/>
        <w:right w:val="single" w:sz="24" w:space="0" w:color="C0504D"/>
      </w:tblBorders>
    </w:tblPr>
    <w:tcPr>
      <w:shd w:val="clear" w:color="auto" w:fill="C0504D"/>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next w:val="ListTable5Dark-Accent3"/>
    <w:uiPriority w:val="50"/>
    <w:rsid w:val="00030303"/>
    <w:pPr>
      <w:spacing w:after="0" w:line="240" w:lineRule="auto"/>
    </w:pPr>
    <w:rPr>
      <w:rFonts w:ascii="Times New Roman" w:eastAsia="Times New Roman" w:hAnsi="Times New Roman" w:cs="Times New Roman"/>
      <w:color w:val="FFFFFF"/>
      <w:sz w:val="20"/>
      <w:szCs w:val="20"/>
      <w:lang w:eastAsia="en-AU"/>
    </w:rPr>
    <w:tblPr>
      <w:tblStyleRowBandSize w:val="1"/>
      <w:tblStyleColBandSize w:val="1"/>
      <w:tblBorders>
        <w:top w:val="single" w:sz="24" w:space="0" w:color="9BBB59"/>
        <w:left w:val="single" w:sz="24" w:space="0" w:color="9BBB59"/>
        <w:bottom w:val="single" w:sz="24" w:space="0" w:color="9BBB59"/>
        <w:right w:val="single" w:sz="24" w:space="0" w:color="9BBB59"/>
      </w:tblBorders>
    </w:tblPr>
    <w:tcPr>
      <w:shd w:val="clear" w:color="auto" w:fill="9BBB59"/>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next w:val="ListTable5Dark-Accent4"/>
    <w:uiPriority w:val="50"/>
    <w:rsid w:val="00030303"/>
    <w:pPr>
      <w:spacing w:after="0" w:line="240" w:lineRule="auto"/>
    </w:pPr>
    <w:rPr>
      <w:rFonts w:ascii="Times New Roman" w:eastAsia="Times New Roman" w:hAnsi="Times New Roman" w:cs="Times New Roman"/>
      <w:color w:val="FFFFFF"/>
      <w:sz w:val="20"/>
      <w:szCs w:val="20"/>
      <w:lang w:eastAsia="en-AU"/>
    </w:rPr>
    <w:tblPr>
      <w:tblStyleRowBandSize w:val="1"/>
      <w:tblStyleColBandSize w:val="1"/>
      <w:tblBorders>
        <w:top w:val="single" w:sz="24" w:space="0" w:color="8064A2"/>
        <w:left w:val="single" w:sz="24" w:space="0" w:color="8064A2"/>
        <w:bottom w:val="single" w:sz="24" w:space="0" w:color="8064A2"/>
        <w:right w:val="single" w:sz="24" w:space="0" w:color="8064A2"/>
      </w:tblBorders>
    </w:tblPr>
    <w:tcPr>
      <w:shd w:val="clear" w:color="auto" w:fill="8064A2"/>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next w:val="ListTable5Dark-Accent5"/>
    <w:uiPriority w:val="50"/>
    <w:rsid w:val="00030303"/>
    <w:pPr>
      <w:spacing w:after="0" w:line="240" w:lineRule="auto"/>
    </w:pPr>
    <w:rPr>
      <w:rFonts w:ascii="Times New Roman" w:eastAsia="Times New Roman" w:hAnsi="Times New Roman" w:cs="Times New Roman"/>
      <w:color w:val="FFFFFF"/>
      <w:sz w:val="20"/>
      <w:szCs w:val="20"/>
      <w:lang w:eastAsia="en-AU"/>
    </w:rPr>
    <w:tblPr>
      <w:tblStyleRowBandSize w:val="1"/>
      <w:tblStyleColBandSize w:val="1"/>
      <w:tblBorders>
        <w:top w:val="single" w:sz="24" w:space="0" w:color="4BACC6"/>
        <w:left w:val="single" w:sz="24" w:space="0" w:color="4BACC6"/>
        <w:bottom w:val="single" w:sz="24" w:space="0" w:color="4BACC6"/>
        <w:right w:val="single" w:sz="24" w:space="0" w:color="4BACC6"/>
      </w:tblBorders>
    </w:tblPr>
    <w:tcPr>
      <w:shd w:val="clear" w:color="auto" w:fill="4BACC6"/>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next w:val="ListTable5Dark-Accent6"/>
    <w:uiPriority w:val="50"/>
    <w:rsid w:val="00030303"/>
    <w:pPr>
      <w:spacing w:after="0" w:line="240" w:lineRule="auto"/>
    </w:pPr>
    <w:rPr>
      <w:rFonts w:ascii="Times New Roman" w:eastAsia="Times New Roman" w:hAnsi="Times New Roman" w:cs="Times New Roman"/>
      <w:color w:val="FFFFFF"/>
      <w:sz w:val="20"/>
      <w:szCs w:val="20"/>
      <w:lang w:eastAsia="en-AU"/>
    </w:rPr>
    <w:tblPr>
      <w:tblStyleRowBandSize w:val="1"/>
      <w:tblStyleColBandSize w:val="1"/>
      <w:tblBorders>
        <w:top w:val="single" w:sz="24" w:space="0" w:color="F79646"/>
        <w:left w:val="single" w:sz="24" w:space="0" w:color="F79646"/>
        <w:bottom w:val="single" w:sz="24" w:space="0" w:color="F79646"/>
        <w:right w:val="single" w:sz="24" w:space="0" w:color="F79646"/>
      </w:tblBorders>
    </w:tblPr>
    <w:tcPr>
      <w:shd w:val="clear" w:color="auto" w:fill="F79646"/>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next w:val="ListTable6Colorful"/>
    <w:uiPriority w:val="51"/>
    <w:rsid w:val="00030303"/>
    <w:pPr>
      <w:spacing w:after="0" w:line="240" w:lineRule="auto"/>
    </w:pPr>
    <w:rPr>
      <w:rFonts w:ascii="Times New Roman" w:eastAsia="Times New Roman" w:hAnsi="Times New Roman" w:cs="Times New Roman"/>
      <w:color w:val="000000"/>
      <w:sz w:val="20"/>
      <w:szCs w:val="20"/>
      <w:lang w:eastAsia="en-AU"/>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Accent11">
    <w:name w:val="List Table 6 Colorful - Accent 11"/>
    <w:basedOn w:val="TableNormal"/>
    <w:next w:val="ListTable6Colorful-Accent1"/>
    <w:uiPriority w:val="51"/>
    <w:rsid w:val="00030303"/>
    <w:pPr>
      <w:spacing w:after="0" w:line="240" w:lineRule="auto"/>
    </w:pPr>
    <w:rPr>
      <w:rFonts w:ascii="Times New Roman" w:eastAsia="Times New Roman" w:hAnsi="Times New Roman" w:cs="Times New Roman"/>
      <w:color w:val="365F91"/>
      <w:sz w:val="20"/>
      <w:szCs w:val="20"/>
      <w:lang w:eastAsia="en-AU"/>
    </w:rPr>
    <w:tblPr>
      <w:tblStyleRowBandSize w:val="1"/>
      <w:tblStyleColBandSize w:val="1"/>
      <w:tblBorders>
        <w:top w:val="single" w:sz="4" w:space="0" w:color="4F81BD"/>
        <w:bottom w:val="single" w:sz="4" w:space="0" w:color="4F81BD"/>
      </w:tblBorders>
    </w:tblPr>
    <w:tblStylePr w:type="firstRow">
      <w:rPr>
        <w:b/>
        <w:bCs/>
      </w:rPr>
      <w:tblPr/>
      <w:tcPr>
        <w:tcBorders>
          <w:bottom w:val="single" w:sz="4" w:space="0" w:color="4F81BD"/>
        </w:tcBorders>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ListTable6Colorful-Accent21">
    <w:name w:val="List Table 6 Colorful - Accent 21"/>
    <w:basedOn w:val="TableNormal"/>
    <w:next w:val="ListTable6Colorful-Accent2"/>
    <w:uiPriority w:val="51"/>
    <w:rsid w:val="00030303"/>
    <w:pPr>
      <w:spacing w:after="0" w:line="240" w:lineRule="auto"/>
    </w:pPr>
    <w:rPr>
      <w:rFonts w:ascii="Times New Roman" w:eastAsia="Times New Roman" w:hAnsi="Times New Roman" w:cs="Times New Roman"/>
      <w:color w:val="943634"/>
      <w:sz w:val="20"/>
      <w:szCs w:val="20"/>
      <w:lang w:eastAsia="en-AU"/>
    </w:rPr>
    <w:tblPr>
      <w:tblStyleRowBandSize w:val="1"/>
      <w:tblStyleColBandSize w:val="1"/>
      <w:tblBorders>
        <w:top w:val="single" w:sz="4" w:space="0" w:color="C0504D"/>
        <w:bottom w:val="single" w:sz="4" w:space="0" w:color="C0504D"/>
      </w:tblBorders>
    </w:tblPr>
    <w:tblStylePr w:type="firstRow">
      <w:rPr>
        <w:b/>
        <w:bCs/>
      </w:rPr>
      <w:tblPr/>
      <w:tcPr>
        <w:tcBorders>
          <w:bottom w:val="single" w:sz="4" w:space="0" w:color="C0504D"/>
        </w:tcBorders>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ListTable6Colorful-Accent31">
    <w:name w:val="List Table 6 Colorful - Accent 31"/>
    <w:basedOn w:val="TableNormal"/>
    <w:next w:val="ListTable6Colorful-Accent3"/>
    <w:uiPriority w:val="51"/>
    <w:rsid w:val="00030303"/>
    <w:pPr>
      <w:spacing w:after="0" w:line="240" w:lineRule="auto"/>
    </w:pPr>
    <w:rPr>
      <w:rFonts w:ascii="Times New Roman" w:eastAsia="Times New Roman" w:hAnsi="Times New Roman" w:cs="Times New Roman"/>
      <w:color w:val="76923C"/>
      <w:sz w:val="20"/>
      <w:szCs w:val="20"/>
      <w:lang w:eastAsia="en-AU"/>
    </w:rPr>
    <w:tblPr>
      <w:tblStyleRowBandSize w:val="1"/>
      <w:tblStyleColBandSize w:val="1"/>
      <w:tblBorders>
        <w:top w:val="single" w:sz="4" w:space="0" w:color="9BBB59"/>
        <w:bottom w:val="single" w:sz="4" w:space="0" w:color="9BBB59"/>
      </w:tblBorders>
    </w:tblPr>
    <w:tblStylePr w:type="firstRow">
      <w:rPr>
        <w:b/>
        <w:bCs/>
      </w:rPr>
      <w:tblPr/>
      <w:tcPr>
        <w:tcBorders>
          <w:bottom w:val="single" w:sz="4" w:space="0" w:color="9BBB59"/>
        </w:tcBorders>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ListTable6Colorful-Accent41">
    <w:name w:val="List Table 6 Colorful - Accent 41"/>
    <w:basedOn w:val="TableNormal"/>
    <w:next w:val="ListTable6Colorful-Accent4"/>
    <w:uiPriority w:val="51"/>
    <w:rsid w:val="00030303"/>
    <w:pPr>
      <w:spacing w:after="0" w:line="240" w:lineRule="auto"/>
    </w:pPr>
    <w:rPr>
      <w:rFonts w:ascii="Times New Roman" w:eastAsia="Times New Roman" w:hAnsi="Times New Roman" w:cs="Times New Roman"/>
      <w:color w:val="5F497A"/>
      <w:sz w:val="20"/>
      <w:szCs w:val="20"/>
      <w:lang w:eastAsia="en-AU"/>
    </w:rPr>
    <w:tblPr>
      <w:tblStyleRowBandSize w:val="1"/>
      <w:tblStyleColBandSize w:val="1"/>
      <w:tblBorders>
        <w:top w:val="single" w:sz="4" w:space="0" w:color="8064A2"/>
        <w:bottom w:val="single" w:sz="4" w:space="0" w:color="8064A2"/>
      </w:tblBorders>
    </w:tblPr>
    <w:tblStylePr w:type="firstRow">
      <w:rPr>
        <w:b/>
        <w:bCs/>
      </w:rPr>
      <w:tblPr/>
      <w:tcPr>
        <w:tcBorders>
          <w:bottom w:val="single" w:sz="4" w:space="0" w:color="8064A2"/>
        </w:tcBorders>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ListTable6Colorful-Accent51">
    <w:name w:val="List Table 6 Colorful - Accent 51"/>
    <w:basedOn w:val="TableNormal"/>
    <w:next w:val="ListTable6Colorful-Accent5"/>
    <w:uiPriority w:val="51"/>
    <w:rsid w:val="00030303"/>
    <w:pPr>
      <w:spacing w:after="0" w:line="240" w:lineRule="auto"/>
    </w:pPr>
    <w:rPr>
      <w:rFonts w:ascii="Times New Roman" w:eastAsia="Times New Roman" w:hAnsi="Times New Roman" w:cs="Times New Roman"/>
      <w:color w:val="31849B"/>
      <w:sz w:val="20"/>
      <w:szCs w:val="20"/>
      <w:lang w:eastAsia="en-AU"/>
    </w:rPr>
    <w:tblPr>
      <w:tblStyleRowBandSize w:val="1"/>
      <w:tblStyleColBandSize w:val="1"/>
      <w:tblBorders>
        <w:top w:val="single" w:sz="4" w:space="0" w:color="4BACC6"/>
        <w:bottom w:val="single" w:sz="4" w:space="0" w:color="4BACC6"/>
      </w:tblBorders>
    </w:tblPr>
    <w:tblStylePr w:type="firstRow">
      <w:rPr>
        <w:b/>
        <w:bCs/>
      </w:rPr>
      <w:tblPr/>
      <w:tcPr>
        <w:tcBorders>
          <w:bottom w:val="single" w:sz="4" w:space="0" w:color="4BACC6"/>
        </w:tcBorders>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6Colorful-Accent61">
    <w:name w:val="List Table 6 Colorful - Accent 61"/>
    <w:basedOn w:val="TableNormal"/>
    <w:next w:val="ListTable6Colorful-Accent6"/>
    <w:uiPriority w:val="51"/>
    <w:rsid w:val="00030303"/>
    <w:pPr>
      <w:spacing w:after="0" w:line="240" w:lineRule="auto"/>
    </w:pPr>
    <w:rPr>
      <w:rFonts w:ascii="Times New Roman" w:eastAsia="Times New Roman" w:hAnsi="Times New Roman" w:cs="Times New Roman"/>
      <w:color w:val="E36C0A"/>
      <w:sz w:val="20"/>
      <w:szCs w:val="20"/>
      <w:lang w:eastAsia="en-AU"/>
    </w:rPr>
    <w:tblPr>
      <w:tblStyleRowBandSize w:val="1"/>
      <w:tblStyleColBandSize w:val="1"/>
      <w:tblBorders>
        <w:top w:val="single" w:sz="4" w:space="0" w:color="F79646"/>
        <w:bottom w:val="single" w:sz="4" w:space="0" w:color="F79646"/>
      </w:tblBorders>
    </w:tblPr>
    <w:tblStylePr w:type="firstRow">
      <w:rPr>
        <w:b/>
        <w:bCs/>
      </w:rPr>
      <w:tblPr/>
      <w:tcPr>
        <w:tcBorders>
          <w:bottom w:val="single" w:sz="4" w:space="0" w:color="F79646"/>
        </w:tcBorders>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ListTable7Colorful1">
    <w:name w:val="List Table 7 Colorful1"/>
    <w:basedOn w:val="TableNormal"/>
    <w:next w:val="ListTable7Colorful"/>
    <w:uiPriority w:val="52"/>
    <w:rsid w:val="00030303"/>
    <w:pPr>
      <w:spacing w:after="0" w:line="240" w:lineRule="auto"/>
    </w:pPr>
    <w:rPr>
      <w:rFonts w:ascii="Times New Roman" w:eastAsia="Times New Roman" w:hAnsi="Times New Roman" w:cs="Times New Roman"/>
      <w:color w:val="000000"/>
      <w:sz w:val="20"/>
      <w:szCs w:val="20"/>
      <w:lang w:eastAsia="en-AU"/>
    </w:rPr>
    <w:tblPr>
      <w:tblStyleRowBandSize w:val="1"/>
      <w:tblStyleColBandSize w:val="1"/>
    </w:tblPr>
    <w:tblStylePr w:type="firstRow">
      <w:rPr>
        <w:rFonts w:ascii="Cambria" w:eastAsia="Times New Roman" w:hAnsi="Cambria" w:cs="Times New Roman"/>
        <w:i/>
        <w:iCs/>
        <w:sz w:val="26"/>
      </w:rPr>
      <w:tblPr/>
      <w:tcPr>
        <w:tcBorders>
          <w:bottom w:val="single" w:sz="4" w:space="0" w:color="000000"/>
        </w:tcBorders>
        <w:shd w:val="clear" w:color="auto" w:fill="FFFFFF"/>
      </w:tcPr>
    </w:tblStylePr>
    <w:tblStylePr w:type="lastRow">
      <w:rPr>
        <w:rFonts w:ascii="Cambria" w:eastAsia="Times New Roman" w:hAnsi="Cambria" w:cs="Times New Roman"/>
        <w:i/>
        <w:iCs/>
        <w:sz w:val="26"/>
      </w:rPr>
      <w:tblPr/>
      <w:tcPr>
        <w:tcBorders>
          <w:top w:val="single" w:sz="4" w:space="0" w:color="000000"/>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000000"/>
        </w:tcBorders>
        <w:shd w:val="clear" w:color="auto" w:fill="FFFFFF"/>
      </w:tcPr>
    </w:tblStylePr>
    <w:tblStylePr w:type="lastCol">
      <w:rPr>
        <w:rFonts w:ascii="Cambria" w:eastAsia="Times New Roman" w:hAnsi="Cambria"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next w:val="ListTable7Colorful-Accent1"/>
    <w:uiPriority w:val="52"/>
    <w:rsid w:val="00030303"/>
    <w:pPr>
      <w:spacing w:after="0" w:line="240" w:lineRule="auto"/>
    </w:pPr>
    <w:rPr>
      <w:rFonts w:ascii="Times New Roman" w:eastAsia="Times New Roman" w:hAnsi="Times New Roman" w:cs="Times New Roman"/>
      <w:color w:val="365F91"/>
      <w:sz w:val="20"/>
      <w:szCs w:val="20"/>
      <w:lang w:eastAsia="en-AU"/>
    </w:rPr>
    <w:tblPr>
      <w:tblStyleRowBandSize w:val="1"/>
      <w:tblStyleColBandSize w:val="1"/>
    </w:tblPr>
    <w:tblStylePr w:type="firstRow">
      <w:rPr>
        <w:rFonts w:ascii="Cambria" w:eastAsia="Times New Roman" w:hAnsi="Cambria" w:cs="Times New Roman"/>
        <w:i/>
        <w:iCs/>
        <w:sz w:val="26"/>
      </w:rPr>
      <w:tblPr/>
      <w:tcPr>
        <w:tcBorders>
          <w:bottom w:val="single" w:sz="4" w:space="0" w:color="4F81BD"/>
        </w:tcBorders>
        <w:shd w:val="clear" w:color="auto" w:fill="FFFFFF"/>
      </w:tcPr>
    </w:tblStylePr>
    <w:tblStylePr w:type="lastRow">
      <w:rPr>
        <w:rFonts w:ascii="Cambria" w:eastAsia="Times New Roman" w:hAnsi="Cambria" w:cs="Times New Roman"/>
        <w:i/>
        <w:iCs/>
        <w:sz w:val="26"/>
      </w:rPr>
      <w:tblPr/>
      <w:tcPr>
        <w:tcBorders>
          <w:top w:val="single" w:sz="4" w:space="0" w:color="4F81BD"/>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4F81BD"/>
        </w:tcBorders>
        <w:shd w:val="clear" w:color="auto" w:fill="FFFFFF"/>
      </w:tcPr>
    </w:tblStylePr>
    <w:tblStylePr w:type="lastCol">
      <w:rPr>
        <w:rFonts w:ascii="Cambria" w:eastAsia="Times New Roman" w:hAnsi="Cambria" w:cs="Times New Roman"/>
        <w:i/>
        <w:iCs/>
        <w:sz w:val="26"/>
      </w:rPr>
      <w:tblPr/>
      <w:tcPr>
        <w:tcBorders>
          <w:left w:val="single" w:sz="4" w:space="0" w:color="4F81BD"/>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next w:val="ListTable7Colorful-Accent2"/>
    <w:uiPriority w:val="52"/>
    <w:rsid w:val="00030303"/>
    <w:pPr>
      <w:spacing w:after="0" w:line="240" w:lineRule="auto"/>
    </w:pPr>
    <w:rPr>
      <w:rFonts w:ascii="Times New Roman" w:eastAsia="Times New Roman" w:hAnsi="Times New Roman" w:cs="Times New Roman"/>
      <w:color w:val="943634"/>
      <w:sz w:val="20"/>
      <w:szCs w:val="20"/>
      <w:lang w:eastAsia="en-AU"/>
    </w:rPr>
    <w:tblPr>
      <w:tblStyleRowBandSize w:val="1"/>
      <w:tblStyleColBandSize w:val="1"/>
    </w:tblPr>
    <w:tblStylePr w:type="firstRow">
      <w:rPr>
        <w:rFonts w:ascii="Cambria" w:eastAsia="Times New Roman" w:hAnsi="Cambria" w:cs="Times New Roman"/>
        <w:i/>
        <w:iCs/>
        <w:sz w:val="26"/>
      </w:rPr>
      <w:tblPr/>
      <w:tcPr>
        <w:tcBorders>
          <w:bottom w:val="single" w:sz="4" w:space="0" w:color="C0504D"/>
        </w:tcBorders>
        <w:shd w:val="clear" w:color="auto" w:fill="FFFFFF"/>
      </w:tcPr>
    </w:tblStylePr>
    <w:tblStylePr w:type="lastRow">
      <w:rPr>
        <w:rFonts w:ascii="Cambria" w:eastAsia="Times New Roman" w:hAnsi="Cambria" w:cs="Times New Roman"/>
        <w:i/>
        <w:iCs/>
        <w:sz w:val="26"/>
      </w:rPr>
      <w:tblPr/>
      <w:tcPr>
        <w:tcBorders>
          <w:top w:val="single" w:sz="4" w:space="0" w:color="C0504D"/>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C0504D"/>
        </w:tcBorders>
        <w:shd w:val="clear" w:color="auto" w:fill="FFFFFF"/>
      </w:tcPr>
    </w:tblStylePr>
    <w:tblStylePr w:type="lastCol">
      <w:rPr>
        <w:rFonts w:ascii="Cambria" w:eastAsia="Times New Roman" w:hAnsi="Cambria" w:cs="Times New Roman"/>
        <w:i/>
        <w:iCs/>
        <w:sz w:val="26"/>
      </w:rPr>
      <w:tblPr/>
      <w:tcPr>
        <w:tcBorders>
          <w:left w:val="single" w:sz="4" w:space="0" w:color="C0504D"/>
        </w:tcBorders>
        <w:shd w:val="clear" w:color="auto" w:fill="FFFFFF"/>
      </w:tcPr>
    </w:tblStylePr>
    <w:tblStylePr w:type="band1Vert">
      <w:tblPr/>
      <w:tcPr>
        <w:shd w:val="clear" w:color="auto" w:fill="F2DBDB"/>
      </w:tcPr>
    </w:tblStylePr>
    <w:tblStylePr w:type="band1Horz">
      <w:tblPr/>
      <w:tcPr>
        <w:shd w:val="clear" w:color="auto" w:fill="F2DBDB"/>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next w:val="ListTable7Colorful-Accent3"/>
    <w:uiPriority w:val="52"/>
    <w:rsid w:val="00030303"/>
    <w:pPr>
      <w:spacing w:after="0" w:line="240" w:lineRule="auto"/>
    </w:pPr>
    <w:rPr>
      <w:rFonts w:ascii="Times New Roman" w:eastAsia="Times New Roman" w:hAnsi="Times New Roman" w:cs="Times New Roman"/>
      <w:color w:val="76923C"/>
      <w:sz w:val="20"/>
      <w:szCs w:val="20"/>
      <w:lang w:eastAsia="en-AU"/>
    </w:rPr>
    <w:tblPr>
      <w:tblStyleRowBandSize w:val="1"/>
      <w:tblStyleColBandSize w:val="1"/>
    </w:tblPr>
    <w:tblStylePr w:type="firstRow">
      <w:rPr>
        <w:rFonts w:ascii="Cambria" w:eastAsia="Times New Roman" w:hAnsi="Cambria" w:cs="Times New Roman"/>
        <w:i/>
        <w:iCs/>
        <w:sz w:val="26"/>
      </w:rPr>
      <w:tblPr/>
      <w:tcPr>
        <w:tcBorders>
          <w:bottom w:val="single" w:sz="4" w:space="0" w:color="9BBB59"/>
        </w:tcBorders>
        <w:shd w:val="clear" w:color="auto" w:fill="FFFFFF"/>
      </w:tcPr>
    </w:tblStylePr>
    <w:tblStylePr w:type="lastRow">
      <w:rPr>
        <w:rFonts w:ascii="Cambria" w:eastAsia="Times New Roman" w:hAnsi="Cambria" w:cs="Times New Roman"/>
        <w:i/>
        <w:iCs/>
        <w:sz w:val="26"/>
      </w:rPr>
      <w:tblPr/>
      <w:tcPr>
        <w:tcBorders>
          <w:top w:val="single" w:sz="4" w:space="0" w:color="9BBB59"/>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9BBB59"/>
        </w:tcBorders>
        <w:shd w:val="clear" w:color="auto" w:fill="FFFFFF"/>
      </w:tcPr>
    </w:tblStylePr>
    <w:tblStylePr w:type="lastCol">
      <w:rPr>
        <w:rFonts w:ascii="Cambria" w:eastAsia="Times New Roman" w:hAnsi="Cambria" w:cs="Times New Roman"/>
        <w:i/>
        <w:iCs/>
        <w:sz w:val="26"/>
      </w:rPr>
      <w:tblPr/>
      <w:tcPr>
        <w:tcBorders>
          <w:left w:val="single" w:sz="4" w:space="0" w:color="9BBB59"/>
        </w:tcBorders>
        <w:shd w:val="clear" w:color="auto" w:fill="FFFFFF"/>
      </w:tcPr>
    </w:tblStylePr>
    <w:tblStylePr w:type="band1Vert">
      <w:tblPr/>
      <w:tcPr>
        <w:shd w:val="clear" w:color="auto" w:fill="EAF1DD"/>
      </w:tcPr>
    </w:tblStylePr>
    <w:tblStylePr w:type="band1Horz">
      <w:tblPr/>
      <w:tcPr>
        <w:shd w:val="clear" w:color="auto" w:fill="EAF1D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next w:val="ListTable7Colorful-Accent4"/>
    <w:uiPriority w:val="52"/>
    <w:rsid w:val="00030303"/>
    <w:pPr>
      <w:spacing w:after="0" w:line="240" w:lineRule="auto"/>
    </w:pPr>
    <w:rPr>
      <w:rFonts w:ascii="Times New Roman" w:eastAsia="Times New Roman" w:hAnsi="Times New Roman" w:cs="Times New Roman"/>
      <w:color w:val="5F497A"/>
      <w:sz w:val="20"/>
      <w:szCs w:val="20"/>
      <w:lang w:eastAsia="en-AU"/>
    </w:rPr>
    <w:tblPr>
      <w:tblStyleRowBandSize w:val="1"/>
      <w:tblStyleColBandSize w:val="1"/>
    </w:tblPr>
    <w:tblStylePr w:type="firstRow">
      <w:rPr>
        <w:rFonts w:ascii="Cambria" w:eastAsia="Times New Roman" w:hAnsi="Cambria" w:cs="Times New Roman"/>
        <w:i/>
        <w:iCs/>
        <w:sz w:val="26"/>
      </w:rPr>
      <w:tblPr/>
      <w:tcPr>
        <w:tcBorders>
          <w:bottom w:val="single" w:sz="4" w:space="0" w:color="8064A2"/>
        </w:tcBorders>
        <w:shd w:val="clear" w:color="auto" w:fill="FFFFFF"/>
      </w:tcPr>
    </w:tblStylePr>
    <w:tblStylePr w:type="lastRow">
      <w:rPr>
        <w:rFonts w:ascii="Cambria" w:eastAsia="Times New Roman" w:hAnsi="Cambria" w:cs="Times New Roman"/>
        <w:i/>
        <w:iCs/>
        <w:sz w:val="26"/>
      </w:rPr>
      <w:tblPr/>
      <w:tcPr>
        <w:tcBorders>
          <w:top w:val="single" w:sz="4" w:space="0" w:color="8064A2"/>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8064A2"/>
        </w:tcBorders>
        <w:shd w:val="clear" w:color="auto" w:fill="FFFFFF"/>
      </w:tcPr>
    </w:tblStylePr>
    <w:tblStylePr w:type="lastCol">
      <w:rPr>
        <w:rFonts w:ascii="Cambria" w:eastAsia="Times New Roman" w:hAnsi="Cambria" w:cs="Times New Roman"/>
        <w:i/>
        <w:iCs/>
        <w:sz w:val="26"/>
      </w:rPr>
      <w:tblPr/>
      <w:tcPr>
        <w:tcBorders>
          <w:left w:val="single" w:sz="4" w:space="0" w:color="8064A2"/>
        </w:tcBorders>
        <w:shd w:val="clear" w:color="auto" w:fill="FFFFFF"/>
      </w:tcPr>
    </w:tblStylePr>
    <w:tblStylePr w:type="band1Vert">
      <w:tblPr/>
      <w:tcPr>
        <w:shd w:val="clear" w:color="auto" w:fill="E5DFEC"/>
      </w:tcPr>
    </w:tblStylePr>
    <w:tblStylePr w:type="band1Horz">
      <w:tblPr/>
      <w:tcPr>
        <w:shd w:val="clear" w:color="auto" w:fill="E5DFE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next w:val="ListTable7Colorful-Accent5"/>
    <w:uiPriority w:val="52"/>
    <w:rsid w:val="00030303"/>
    <w:pPr>
      <w:spacing w:after="0" w:line="240" w:lineRule="auto"/>
    </w:pPr>
    <w:rPr>
      <w:rFonts w:ascii="Times New Roman" w:eastAsia="Times New Roman" w:hAnsi="Times New Roman" w:cs="Times New Roman"/>
      <w:color w:val="31849B"/>
      <w:sz w:val="20"/>
      <w:szCs w:val="20"/>
      <w:lang w:eastAsia="en-AU"/>
    </w:rPr>
    <w:tblPr>
      <w:tblStyleRowBandSize w:val="1"/>
      <w:tblStyleColBandSize w:val="1"/>
    </w:tblPr>
    <w:tblStylePr w:type="firstRow">
      <w:rPr>
        <w:rFonts w:ascii="Cambria" w:eastAsia="Times New Roman" w:hAnsi="Cambria" w:cs="Times New Roman"/>
        <w:i/>
        <w:iCs/>
        <w:sz w:val="26"/>
      </w:rPr>
      <w:tblPr/>
      <w:tcPr>
        <w:tcBorders>
          <w:bottom w:val="single" w:sz="4" w:space="0" w:color="4BACC6"/>
        </w:tcBorders>
        <w:shd w:val="clear" w:color="auto" w:fill="FFFFFF"/>
      </w:tcPr>
    </w:tblStylePr>
    <w:tblStylePr w:type="lastRow">
      <w:rPr>
        <w:rFonts w:ascii="Cambria" w:eastAsia="Times New Roman" w:hAnsi="Cambria" w:cs="Times New Roman"/>
        <w:i/>
        <w:iCs/>
        <w:sz w:val="26"/>
      </w:rPr>
      <w:tblPr/>
      <w:tcPr>
        <w:tcBorders>
          <w:top w:val="single" w:sz="4" w:space="0" w:color="4BACC6"/>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4BACC6"/>
        </w:tcBorders>
        <w:shd w:val="clear" w:color="auto" w:fill="FFFFFF"/>
      </w:tcPr>
    </w:tblStylePr>
    <w:tblStylePr w:type="lastCol">
      <w:rPr>
        <w:rFonts w:ascii="Cambria" w:eastAsia="Times New Roman" w:hAnsi="Cambria" w:cs="Times New Roman"/>
        <w:i/>
        <w:iCs/>
        <w:sz w:val="26"/>
      </w:rPr>
      <w:tblPr/>
      <w:tcPr>
        <w:tcBorders>
          <w:left w:val="single" w:sz="4" w:space="0" w:color="4BACC6"/>
        </w:tcBorders>
        <w:shd w:val="clear" w:color="auto" w:fill="FFFFFF"/>
      </w:tcPr>
    </w:tblStylePr>
    <w:tblStylePr w:type="band1Vert">
      <w:tblPr/>
      <w:tcPr>
        <w:shd w:val="clear" w:color="auto" w:fill="DAEEF3"/>
      </w:tcPr>
    </w:tblStylePr>
    <w:tblStylePr w:type="band1Horz">
      <w:tblPr/>
      <w:tcPr>
        <w:shd w:val="clear" w:color="auto" w:fill="DAEE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next w:val="ListTable7Colorful-Accent6"/>
    <w:uiPriority w:val="52"/>
    <w:rsid w:val="00030303"/>
    <w:pPr>
      <w:spacing w:after="0" w:line="240" w:lineRule="auto"/>
    </w:pPr>
    <w:rPr>
      <w:rFonts w:ascii="Times New Roman" w:eastAsia="Times New Roman" w:hAnsi="Times New Roman" w:cs="Times New Roman"/>
      <w:color w:val="E36C0A"/>
      <w:sz w:val="20"/>
      <w:szCs w:val="20"/>
      <w:lang w:eastAsia="en-AU"/>
    </w:rPr>
    <w:tblPr>
      <w:tblStyleRowBandSize w:val="1"/>
      <w:tblStyleColBandSize w:val="1"/>
    </w:tblPr>
    <w:tblStylePr w:type="firstRow">
      <w:rPr>
        <w:rFonts w:ascii="Cambria" w:eastAsia="Times New Roman" w:hAnsi="Cambria" w:cs="Times New Roman"/>
        <w:i/>
        <w:iCs/>
        <w:sz w:val="26"/>
      </w:rPr>
      <w:tblPr/>
      <w:tcPr>
        <w:tcBorders>
          <w:bottom w:val="single" w:sz="4" w:space="0" w:color="F79646"/>
        </w:tcBorders>
        <w:shd w:val="clear" w:color="auto" w:fill="FFFFFF"/>
      </w:tcPr>
    </w:tblStylePr>
    <w:tblStylePr w:type="lastRow">
      <w:rPr>
        <w:rFonts w:ascii="Cambria" w:eastAsia="Times New Roman" w:hAnsi="Cambria" w:cs="Times New Roman"/>
        <w:i/>
        <w:iCs/>
        <w:sz w:val="26"/>
      </w:rPr>
      <w:tblPr/>
      <w:tcPr>
        <w:tcBorders>
          <w:top w:val="single" w:sz="4" w:space="0" w:color="F79646"/>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F79646"/>
        </w:tcBorders>
        <w:shd w:val="clear" w:color="auto" w:fill="FFFFFF"/>
      </w:tcPr>
    </w:tblStylePr>
    <w:tblStylePr w:type="lastCol">
      <w:rPr>
        <w:rFonts w:ascii="Cambria" w:eastAsia="Times New Roman" w:hAnsi="Cambria" w:cs="Times New Roman"/>
        <w:i/>
        <w:iCs/>
        <w:sz w:val="26"/>
      </w:rPr>
      <w:tblPr/>
      <w:tcPr>
        <w:tcBorders>
          <w:left w:val="single" w:sz="4" w:space="0" w:color="F79646"/>
        </w:tcBorders>
        <w:shd w:val="clear" w:color="auto" w:fill="FFFFFF"/>
      </w:tcPr>
    </w:tblStylePr>
    <w:tblStylePr w:type="band1Vert">
      <w:tblPr/>
      <w:tcPr>
        <w:shd w:val="clear" w:color="auto" w:fill="FDE9D9"/>
      </w:tcPr>
    </w:tblStylePr>
    <w:tblStylePr w:type="band1Horz">
      <w:tblPr/>
      <w:tcPr>
        <w:shd w:val="clear" w:color="auto" w:fill="FDE9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1">
    <w:name w:val="Plain Table 11"/>
    <w:basedOn w:val="TableNormal"/>
    <w:next w:val="PlainTable1"/>
    <w:uiPriority w:val="41"/>
    <w:rsid w:val="00030303"/>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1">
    <w:name w:val="Plain Table 21"/>
    <w:basedOn w:val="TableNormal"/>
    <w:next w:val="PlainTable2"/>
    <w:uiPriority w:val="42"/>
    <w:rsid w:val="00030303"/>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31">
    <w:name w:val="Plain Table 31"/>
    <w:basedOn w:val="TableNormal"/>
    <w:next w:val="PlainTable3"/>
    <w:uiPriority w:val="43"/>
    <w:rsid w:val="00030303"/>
    <w:pPr>
      <w:spacing w:after="0" w:line="240" w:lineRule="auto"/>
    </w:pPr>
    <w:rPr>
      <w:rFonts w:ascii="Times New Roman" w:eastAsia="Times New Roman" w:hAnsi="Times New Roman" w:cs="Times New Roman"/>
      <w:sz w:val="20"/>
      <w:szCs w:val="20"/>
      <w:lang w:eastAsia="en-A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next w:val="PlainTable4"/>
    <w:uiPriority w:val="44"/>
    <w:rsid w:val="00030303"/>
    <w:pPr>
      <w:spacing w:after="0" w:line="240" w:lineRule="auto"/>
    </w:pPr>
    <w:rPr>
      <w:rFonts w:ascii="Times New Roman" w:eastAsia="Times New Roman" w:hAnsi="Times New Roman" w:cs="Times New Roman"/>
      <w:sz w:val="20"/>
      <w:szCs w:val="20"/>
      <w:lang w:eastAsia="en-A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
    <w:name w:val="Plain Table 51"/>
    <w:basedOn w:val="TableNormal"/>
    <w:next w:val="PlainTable5"/>
    <w:uiPriority w:val="45"/>
    <w:rsid w:val="00030303"/>
    <w:pPr>
      <w:spacing w:after="0" w:line="240" w:lineRule="auto"/>
    </w:pPr>
    <w:rPr>
      <w:rFonts w:ascii="Times New Roman" w:eastAsia="Times New Roman" w:hAnsi="Times New Roman" w:cs="Times New Roman"/>
      <w:sz w:val="20"/>
      <w:szCs w:val="20"/>
      <w:lang w:eastAsia="en-AU"/>
    </w:rPr>
    <w:tblPr>
      <w:tblStyleRowBandSize w:val="1"/>
      <w:tblStyleColBandSize w:val="1"/>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1">
    <w:name w:val="Table Grid Light1"/>
    <w:basedOn w:val="TableNormal"/>
    <w:next w:val="TableGridLight"/>
    <w:uiPriority w:val="40"/>
    <w:rsid w:val="00030303"/>
    <w:pPr>
      <w:spacing w:after="0" w:line="240" w:lineRule="auto"/>
    </w:pPr>
    <w:rPr>
      <w:rFonts w:ascii="Times New Roman" w:eastAsia="Times New Roman" w:hAnsi="Times New Roman" w:cs="Times New Roman"/>
      <w:sz w:val="20"/>
      <w:szCs w:val="20"/>
      <w:lang w:eastAsia="en-A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Answer">
    <w:name w:val="Answer"/>
    <w:aliases w:val="?A"/>
    <w:basedOn w:val="PlainParagraph"/>
    <w:next w:val="Question"/>
    <w:uiPriority w:val="7"/>
    <w:qFormat/>
    <w:rsid w:val="00030303"/>
    <w:pPr>
      <w:tabs>
        <w:tab w:val="left" w:pos="425"/>
        <w:tab w:val="left" w:pos="850"/>
      </w:tabs>
      <w:spacing w:before="0"/>
      <w:ind w:left="850" w:hanging="850"/>
    </w:pPr>
  </w:style>
  <w:style w:type="paragraph" w:customStyle="1" w:styleId="Question">
    <w:name w:val="Question"/>
    <w:aliases w:val="?Q"/>
    <w:basedOn w:val="PlainParagraph"/>
    <w:next w:val="Answer"/>
    <w:uiPriority w:val="7"/>
    <w:qFormat/>
    <w:rsid w:val="00030303"/>
    <w:pPr>
      <w:keepNext/>
      <w:widowControl w:val="0"/>
      <w:tabs>
        <w:tab w:val="left" w:pos="425"/>
        <w:tab w:val="left" w:pos="850"/>
      </w:tabs>
      <w:ind w:left="850" w:hanging="850"/>
    </w:pPr>
    <w:rPr>
      <w:i/>
    </w:rPr>
  </w:style>
  <w:style w:type="paragraph" w:customStyle="1" w:styleId="QAText0">
    <w:name w:val="QA: Text"/>
    <w:aliases w:val="?="/>
    <w:basedOn w:val="PlainParagraph"/>
    <w:uiPriority w:val="7"/>
    <w:qFormat/>
    <w:rsid w:val="00030303"/>
    <w:pPr>
      <w:keepNext/>
      <w:widowControl w:val="0"/>
      <w:ind w:left="425"/>
    </w:pPr>
    <w:rPr>
      <w:i/>
    </w:rPr>
  </w:style>
  <w:style w:type="paragraph" w:customStyle="1" w:styleId="DashEM1outlook">
    <w:name w:val="Dash: EM 1 outlook"/>
    <w:basedOn w:val="DashEm1"/>
    <w:uiPriority w:val="3"/>
    <w:semiHidden/>
    <w:rsid w:val="00030303"/>
    <w:pPr>
      <w:ind w:left="850"/>
    </w:pPr>
  </w:style>
  <w:style w:type="paragraph" w:customStyle="1" w:styleId="Dashen1outlook">
    <w:name w:val="Dash: en 1 outlook"/>
    <w:basedOn w:val="DashEn1"/>
    <w:uiPriority w:val="3"/>
    <w:semiHidden/>
    <w:rsid w:val="00030303"/>
    <w:pPr>
      <w:ind w:left="1275"/>
    </w:pPr>
  </w:style>
  <w:style w:type="character" w:customStyle="1" w:styleId="PlainParagraphChar">
    <w:name w:val="Plain Paragraph Char"/>
    <w:aliases w:val="PP Char"/>
    <w:basedOn w:val="DefaultParagraphFont"/>
    <w:link w:val="PlainParagraph"/>
    <w:rsid w:val="00030303"/>
    <w:rPr>
      <w:rFonts w:ascii="Arial" w:eastAsia="Times New Roman" w:hAnsi="Arial" w:cs="Arial"/>
      <w:lang w:eastAsia="en-AU"/>
    </w:rPr>
  </w:style>
  <w:style w:type="character" w:customStyle="1" w:styleId="DashEm1Char">
    <w:name w:val="Dash: Em 1 Char"/>
    <w:aliases w:val="-EM Char"/>
    <w:basedOn w:val="PlainParagraphChar"/>
    <w:link w:val="DashEm1"/>
    <w:uiPriority w:val="3"/>
    <w:semiHidden/>
    <w:rsid w:val="00030303"/>
    <w:rPr>
      <w:rFonts w:ascii="Arial" w:eastAsia="Times New Roman" w:hAnsi="Arial" w:cs="Arial"/>
      <w:lang w:eastAsia="en-AU"/>
    </w:rPr>
  </w:style>
  <w:style w:type="character" w:customStyle="1" w:styleId="DashEn1Char">
    <w:name w:val="Dash: En 1 Char"/>
    <w:aliases w:val="-EN Char"/>
    <w:basedOn w:val="DefaultParagraphFont"/>
    <w:link w:val="DashEn1"/>
    <w:uiPriority w:val="3"/>
    <w:rsid w:val="00030303"/>
    <w:rPr>
      <w:rFonts w:ascii="Arial" w:eastAsia="Times New Roman" w:hAnsi="Arial" w:cs="Arial"/>
      <w:lang w:eastAsia="en-AU"/>
    </w:rPr>
  </w:style>
  <w:style w:type="paragraph" w:customStyle="1" w:styleId="DashEM1forOutlook">
    <w:name w:val="Dash EM1 for Outlook"/>
    <w:basedOn w:val="DashEm1"/>
    <w:uiPriority w:val="3"/>
    <w:semiHidden/>
    <w:rsid w:val="00030303"/>
    <w:pPr>
      <w:numPr>
        <w:ilvl w:val="1"/>
        <w:numId w:val="50"/>
      </w:numPr>
      <w:tabs>
        <w:tab w:val="clear" w:pos="1134"/>
        <w:tab w:val="num" w:pos="360"/>
      </w:tabs>
      <w:ind w:left="1080" w:hanging="360"/>
    </w:pPr>
    <w:rPr>
      <w:lang w:val="en-US"/>
    </w:rPr>
  </w:style>
  <w:style w:type="paragraph" w:customStyle="1" w:styleId="DashEN1forOutlook">
    <w:name w:val="Dash EN1 for Outlook"/>
    <w:basedOn w:val="DashEn1"/>
    <w:uiPriority w:val="3"/>
    <w:semiHidden/>
    <w:rsid w:val="00030303"/>
    <w:pPr>
      <w:numPr>
        <w:numId w:val="50"/>
      </w:numPr>
      <w:tabs>
        <w:tab w:val="clear" w:pos="1559"/>
        <w:tab w:val="num" w:pos="360"/>
      </w:tabs>
      <w:ind w:left="1800" w:hanging="360"/>
    </w:pPr>
  </w:style>
  <w:style w:type="paragraph" w:customStyle="1" w:styleId="Plainparai">
    <w:name w:val="Plain para i."/>
    <w:aliases w:val="i"/>
    <w:basedOn w:val="Normal"/>
    <w:uiPriority w:val="94"/>
    <w:semiHidden/>
    <w:rsid w:val="00030303"/>
    <w:pPr>
      <w:numPr>
        <w:numId w:val="51"/>
      </w:numPr>
      <w:spacing w:after="140" w:line="280" w:lineRule="atLeast"/>
    </w:pPr>
    <w:rPr>
      <w:rFonts w:ascii="Arial" w:eastAsia="Times New Roman" w:hAnsi="Arial" w:cs="Arial"/>
      <w:w w:val="100"/>
      <w:kern w:val="0"/>
      <w:lang w:eastAsia="en-AU"/>
    </w:rPr>
  </w:style>
  <w:style w:type="paragraph" w:customStyle="1" w:styleId="ClassificationDLMheader">
    <w:name w:val="Classification DLM: header"/>
    <w:basedOn w:val="ClassificationDLMfooter"/>
    <w:uiPriority w:val="20"/>
    <w:semiHidden/>
    <w:rsid w:val="00030303"/>
  </w:style>
  <w:style w:type="paragraph" w:customStyle="1" w:styleId="ClassificationDLMfooter">
    <w:name w:val="Classification DLM: footer"/>
    <w:basedOn w:val="Normal"/>
    <w:uiPriority w:val="20"/>
    <w:semiHidden/>
    <w:rsid w:val="00030303"/>
    <w:pPr>
      <w:widowControl w:val="0"/>
      <w:spacing w:after="0" w:line="280" w:lineRule="atLeast"/>
      <w:jc w:val="center"/>
    </w:pPr>
    <w:rPr>
      <w:rFonts w:ascii="Arial" w:eastAsia="Times New Roman" w:hAnsi="Arial" w:cs="Arial"/>
      <w:color w:val="FF0000"/>
      <w:w w:val="100"/>
      <w:kern w:val="0"/>
      <w:sz w:val="24"/>
      <w:lang w:eastAsia="en-AU"/>
    </w:rPr>
  </w:style>
  <w:style w:type="paragraph" w:customStyle="1" w:styleId="Leg7SubParaA">
    <w:name w:val="Leg7 SubPara: (A)"/>
    <w:aliases w:val="L7"/>
    <w:basedOn w:val="Leg6SubParai"/>
    <w:uiPriority w:val="5"/>
    <w:rsid w:val="00030303"/>
    <w:pPr>
      <w:ind w:left="3060"/>
    </w:pPr>
    <w:rPr>
      <w:rFonts w:cs="Times New Roman"/>
      <w:szCs w:val="20"/>
    </w:rPr>
  </w:style>
  <w:style w:type="paragraph" w:customStyle="1" w:styleId="LegislativeNote">
    <w:name w:val="Legislative Note"/>
    <w:aliases w:val="LN"/>
    <w:basedOn w:val="Leg4Subsec1"/>
    <w:uiPriority w:val="5"/>
    <w:rsid w:val="00030303"/>
    <w:pPr>
      <w:ind w:left="2127" w:hanging="851"/>
    </w:pPr>
    <w:rPr>
      <w:rFonts w:cs="Times New Roman"/>
      <w:sz w:val="16"/>
      <w:szCs w:val="20"/>
    </w:rPr>
  </w:style>
  <w:style w:type="paragraph" w:customStyle="1" w:styleId="Dot1">
    <w:name w:val="Dot1"/>
    <w:aliases w:val="DOT"/>
    <w:basedOn w:val="DashEm1"/>
    <w:link w:val="Dot1Char"/>
    <w:uiPriority w:val="2"/>
    <w:rsid w:val="00030303"/>
    <w:pPr>
      <w:numPr>
        <w:ilvl w:val="1"/>
        <w:numId w:val="29"/>
      </w:numPr>
    </w:pPr>
  </w:style>
  <w:style w:type="character" w:customStyle="1" w:styleId="Dot1Char">
    <w:name w:val="Dot1 Char"/>
    <w:aliases w:val="DOT Char"/>
    <w:basedOn w:val="DashEm1Char"/>
    <w:link w:val="Dot1"/>
    <w:uiPriority w:val="2"/>
    <w:rsid w:val="00030303"/>
    <w:rPr>
      <w:rFonts w:ascii="Arial" w:eastAsia="Times New Roman" w:hAnsi="Arial" w:cs="Arial"/>
      <w:lang w:eastAsia="en-AU"/>
    </w:rPr>
  </w:style>
  <w:style w:type="paragraph" w:customStyle="1" w:styleId="Dot1forOutlook">
    <w:name w:val="Dot1 for Outlook"/>
    <w:basedOn w:val="DashEM1forOutlook"/>
    <w:uiPriority w:val="2"/>
    <w:semiHidden/>
    <w:rsid w:val="00030303"/>
    <w:pPr>
      <w:numPr>
        <w:ilvl w:val="0"/>
        <w:numId w:val="52"/>
      </w:numPr>
      <w:tabs>
        <w:tab w:val="num" w:pos="360"/>
        <w:tab w:val="num" w:pos="926"/>
        <w:tab w:val="num" w:pos="1134"/>
      </w:tabs>
      <w:ind w:left="720" w:hanging="425"/>
    </w:pPr>
  </w:style>
  <w:style w:type="paragraph" w:customStyle="1" w:styleId="Dot">
    <w:name w:val="Dot"/>
    <w:basedOn w:val="Dot1"/>
    <w:uiPriority w:val="2"/>
    <w:semiHidden/>
    <w:rsid w:val="00030303"/>
  </w:style>
  <w:style w:type="character" w:customStyle="1" w:styleId="OGCSubbrand">
    <w:name w:val="OGCSubbrand"/>
    <w:basedOn w:val="PlainParagraphChar"/>
    <w:uiPriority w:val="1"/>
    <w:semiHidden/>
    <w:rsid w:val="00030303"/>
    <w:rPr>
      <w:rFonts w:ascii="Arial" w:eastAsia="Times New Roman" w:hAnsi="Arial" w:cs="Courier New"/>
      <w:b/>
      <w:i/>
      <w:color w:val="000000"/>
      <w:sz w:val="20"/>
      <w:szCs w:val="20"/>
      <w:lang w:eastAsia="en-AU"/>
    </w:rPr>
  </w:style>
  <w:style w:type="paragraph" w:customStyle="1" w:styleId="TableDot">
    <w:name w:val="Table: Dot"/>
    <w:basedOn w:val="TableDashEm1"/>
    <w:uiPriority w:val="12"/>
    <w:semiHidden/>
    <w:rsid w:val="00030303"/>
    <w:pPr>
      <w:numPr>
        <w:numId w:val="34"/>
      </w:numPr>
      <w:tabs>
        <w:tab w:val="clear" w:pos="283"/>
        <w:tab w:val="num" w:pos="360"/>
        <w:tab w:val="num" w:pos="850"/>
      </w:tabs>
      <w:ind w:left="720" w:hanging="360"/>
    </w:pPr>
  </w:style>
  <w:style w:type="paragraph" w:customStyle="1" w:styleId="TableDot1">
    <w:name w:val="Table: Dot1"/>
    <w:basedOn w:val="TableDot"/>
    <w:uiPriority w:val="12"/>
    <w:rsid w:val="00030303"/>
    <w:pPr>
      <w:numPr>
        <w:ilvl w:val="1"/>
      </w:numPr>
      <w:tabs>
        <w:tab w:val="clear" w:pos="283"/>
        <w:tab w:val="num" w:pos="360"/>
      </w:tabs>
      <w:ind w:left="1440" w:hanging="360"/>
    </w:pPr>
  </w:style>
  <w:style w:type="paragraph" w:customStyle="1" w:styleId="HiddenPara">
    <w:name w:val="Hidden Para"/>
    <w:basedOn w:val="PlainParagraph"/>
    <w:uiPriority w:val="27"/>
    <w:rsid w:val="00030303"/>
    <w:pPr>
      <w:spacing w:before="280"/>
    </w:pPr>
    <w:rPr>
      <w:vanish/>
      <w:color w:val="0000FF"/>
    </w:rPr>
  </w:style>
  <w:style w:type="character" w:customStyle="1" w:styleId="HiddenText">
    <w:name w:val="Hidden Text"/>
    <w:uiPriority w:val="27"/>
    <w:rsid w:val="00030303"/>
    <w:rPr>
      <w:rFonts w:ascii="Arial" w:hAnsi="Arial" w:cs="Arial"/>
      <w:b w:val="0"/>
      <w:i w:val="0"/>
      <w:vanish/>
      <w:color w:val="0000FF"/>
      <w:sz w:val="22"/>
    </w:rPr>
  </w:style>
  <w:style w:type="paragraph" w:customStyle="1" w:styleId="CourtNotice">
    <w:name w:val="Court Notice"/>
    <w:basedOn w:val="PlainParagraph"/>
    <w:uiPriority w:val="89"/>
    <w:unhideWhenUsed/>
    <w:rsid w:val="00030303"/>
    <w:pPr>
      <w:spacing w:before="120" w:after="120"/>
    </w:pPr>
    <w:rPr>
      <w:rFonts w:cs="Times New Roman"/>
    </w:rPr>
  </w:style>
  <w:style w:type="paragraph" w:customStyle="1" w:styleId="CourtNoticeDate">
    <w:name w:val="Court Notice Date"/>
    <w:basedOn w:val="PlainParagraph"/>
    <w:uiPriority w:val="89"/>
    <w:unhideWhenUsed/>
    <w:rsid w:val="00030303"/>
    <w:pPr>
      <w:spacing w:before="120" w:after="120" w:line="240" w:lineRule="atLeast"/>
    </w:pPr>
    <w:rPr>
      <w:rFonts w:cs="Times New Roman"/>
    </w:rPr>
  </w:style>
  <w:style w:type="paragraph" w:customStyle="1" w:styleId="CourtNoticeIndent">
    <w:name w:val="Court Notice Indent"/>
    <w:basedOn w:val="PlainParagraph"/>
    <w:uiPriority w:val="89"/>
    <w:unhideWhenUsed/>
    <w:rsid w:val="00030303"/>
    <w:pPr>
      <w:spacing w:before="0" w:after="120"/>
      <w:ind w:left="567"/>
    </w:pPr>
    <w:rPr>
      <w:rFonts w:cs="Times New Roman"/>
    </w:rPr>
  </w:style>
  <w:style w:type="paragraph" w:customStyle="1" w:styleId="CourtNoticeNameAddress">
    <w:name w:val="Court Notice Name &amp; Address"/>
    <w:basedOn w:val="CourtNotice"/>
    <w:uiPriority w:val="89"/>
    <w:unhideWhenUsed/>
    <w:rsid w:val="00030303"/>
    <w:pPr>
      <w:ind w:left="567"/>
    </w:pPr>
  </w:style>
  <w:style w:type="paragraph" w:customStyle="1" w:styleId="CourtNoticeNumberLevel1">
    <w:name w:val="Court Notice Number Level 1"/>
    <w:basedOn w:val="PlainParagraph"/>
    <w:uiPriority w:val="89"/>
    <w:unhideWhenUsed/>
    <w:rsid w:val="00030303"/>
    <w:pPr>
      <w:numPr>
        <w:numId w:val="54"/>
      </w:numPr>
      <w:tabs>
        <w:tab w:val="clear" w:pos="567"/>
        <w:tab w:val="num" w:pos="360"/>
      </w:tabs>
      <w:spacing w:before="120" w:after="120"/>
      <w:ind w:left="720" w:hanging="360"/>
      <w:outlineLvl w:val="0"/>
    </w:pPr>
    <w:rPr>
      <w:rFonts w:cs="Times New Roman"/>
    </w:rPr>
  </w:style>
  <w:style w:type="paragraph" w:customStyle="1" w:styleId="CourtNoticeNumberLevel2">
    <w:name w:val="Court Notice Number Level 2"/>
    <w:basedOn w:val="PlainParagraph"/>
    <w:uiPriority w:val="89"/>
    <w:unhideWhenUsed/>
    <w:rsid w:val="00030303"/>
    <w:pPr>
      <w:numPr>
        <w:ilvl w:val="1"/>
        <w:numId w:val="54"/>
      </w:numPr>
      <w:tabs>
        <w:tab w:val="clear" w:pos="1134"/>
        <w:tab w:val="num" w:pos="360"/>
      </w:tabs>
      <w:spacing w:before="120" w:after="120"/>
      <w:ind w:left="1440" w:hanging="360"/>
      <w:outlineLvl w:val="1"/>
    </w:pPr>
    <w:rPr>
      <w:rFonts w:cs="Times New Roman"/>
    </w:rPr>
  </w:style>
  <w:style w:type="paragraph" w:customStyle="1" w:styleId="CourtNoticeNumberLevel3">
    <w:name w:val="Court Notice Number Level 3"/>
    <w:basedOn w:val="PlainParagraph"/>
    <w:uiPriority w:val="89"/>
    <w:unhideWhenUsed/>
    <w:rsid w:val="00030303"/>
    <w:pPr>
      <w:numPr>
        <w:ilvl w:val="2"/>
        <w:numId w:val="54"/>
      </w:numPr>
      <w:tabs>
        <w:tab w:val="clear" w:pos="1984"/>
        <w:tab w:val="num" w:pos="360"/>
      </w:tabs>
      <w:spacing w:before="120" w:after="120"/>
      <w:ind w:left="2160" w:hanging="180"/>
      <w:outlineLvl w:val="2"/>
    </w:pPr>
    <w:rPr>
      <w:rFonts w:cs="Times New Roman"/>
    </w:rPr>
  </w:style>
  <w:style w:type="paragraph" w:customStyle="1" w:styleId="CourtNoticeNumberLevel4">
    <w:name w:val="Court Notice Number Level 4"/>
    <w:basedOn w:val="PlainParagraph"/>
    <w:uiPriority w:val="89"/>
    <w:unhideWhenUsed/>
    <w:rsid w:val="00030303"/>
    <w:pPr>
      <w:numPr>
        <w:ilvl w:val="3"/>
        <w:numId w:val="54"/>
      </w:numPr>
      <w:tabs>
        <w:tab w:val="clear" w:pos="2835"/>
        <w:tab w:val="num" w:pos="360"/>
      </w:tabs>
      <w:spacing w:before="120" w:after="120"/>
      <w:ind w:left="2880" w:hanging="360"/>
      <w:outlineLvl w:val="3"/>
    </w:pPr>
    <w:rPr>
      <w:rFonts w:cs="Times New Roman"/>
    </w:rPr>
  </w:style>
  <w:style w:type="paragraph" w:customStyle="1" w:styleId="CourtNoticeNumberLevel5">
    <w:name w:val="Court Notice Number Level 5"/>
    <w:basedOn w:val="PlainParagraph"/>
    <w:uiPriority w:val="89"/>
    <w:unhideWhenUsed/>
    <w:rsid w:val="00030303"/>
    <w:pPr>
      <w:numPr>
        <w:ilvl w:val="4"/>
        <w:numId w:val="54"/>
      </w:numPr>
      <w:tabs>
        <w:tab w:val="clear" w:pos="3969"/>
        <w:tab w:val="num" w:pos="360"/>
      </w:tabs>
      <w:spacing w:before="120" w:after="120" w:line="240" w:lineRule="atLeast"/>
      <w:ind w:left="3600" w:hanging="360"/>
      <w:outlineLvl w:val="4"/>
    </w:pPr>
    <w:rPr>
      <w:rFonts w:cs="Times New Roman"/>
    </w:rPr>
  </w:style>
  <w:style w:type="paragraph" w:customStyle="1" w:styleId="CourtNoticeNumberLevel6">
    <w:name w:val="Court Notice Number Level 6"/>
    <w:basedOn w:val="PlainParagraph"/>
    <w:uiPriority w:val="89"/>
    <w:unhideWhenUsed/>
    <w:rsid w:val="00030303"/>
    <w:pPr>
      <w:numPr>
        <w:ilvl w:val="5"/>
        <w:numId w:val="54"/>
      </w:numPr>
      <w:tabs>
        <w:tab w:val="clear" w:pos="5102"/>
        <w:tab w:val="num" w:pos="360"/>
      </w:tabs>
      <w:spacing w:before="120" w:after="120" w:line="240" w:lineRule="atLeast"/>
      <w:ind w:left="4320" w:hanging="180"/>
      <w:outlineLvl w:val="5"/>
    </w:pPr>
    <w:rPr>
      <w:rFonts w:cs="Times New Roman"/>
    </w:rPr>
  </w:style>
  <w:style w:type="paragraph" w:customStyle="1" w:styleId="CourtNoticeNumberLevel7">
    <w:name w:val="Court Notice Number Level 7"/>
    <w:basedOn w:val="PlainParagraph"/>
    <w:uiPriority w:val="89"/>
    <w:unhideWhenUsed/>
    <w:rsid w:val="00030303"/>
    <w:pPr>
      <w:numPr>
        <w:ilvl w:val="6"/>
        <w:numId w:val="54"/>
      </w:numPr>
      <w:tabs>
        <w:tab w:val="clear" w:pos="6236"/>
        <w:tab w:val="num" w:pos="360"/>
      </w:tabs>
      <w:spacing w:before="120" w:after="120" w:line="240" w:lineRule="atLeast"/>
      <w:ind w:left="5040" w:hanging="360"/>
      <w:outlineLvl w:val="6"/>
    </w:pPr>
    <w:rPr>
      <w:rFonts w:cs="Times New Roman"/>
    </w:rPr>
  </w:style>
  <w:style w:type="paragraph" w:customStyle="1" w:styleId="CourtNoticeNumberLevel8">
    <w:name w:val="Court Notice Number Level 8"/>
    <w:basedOn w:val="PlainParagraph"/>
    <w:uiPriority w:val="89"/>
    <w:unhideWhenUsed/>
    <w:rsid w:val="00030303"/>
    <w:pPr>
      <w:numPr>
        <w:ilvl w:val="7"/>
        <w:numId w:val="54"/>
      </w:numPr>
      <w:tabs>
        <w:tab w:val="clear" w:pos="7370"/>
        <w:tab w:val="num" w:pos="360"/>
      </w:tabs>
      <w:spacing w:before="120" w:after="120" w:line="240" w:lineRule="atLeast"/>
      <w:ind w:left="5760" w:hanging="360"/>
      <w:outlineLvl w:val="7"/>
    </w:pPr>
    <w:rPr>
      <w:rFonts w:cs="Times New Roman"/>
    </w:rPr>
  </w:style>
  <w:style w:type="paragraph" w:customStyle="1" w:styleId="CourtNoticeNumberLevel9">
    <w:name w:val="Court Notice Number Level 9"/>
    <w:basedOn w:val="PlainParagraph"/>
    <w:uiPriority w:val="89"/>
    <w:unhideWhenUsed/>
    <w:rsid w:val="00030303"/>
    <w:pPr>
      <w:numPr>
        <w:ilvl w:val="8"/>
        <w:numId w:val="54"/>
      </w:numPr>
      <w:tabs>
        <w:tab w:val="clear" w:pos="7370"/>
        <w:tab w:val="num" w:pos="360"/>
      </w:tabs>
      <w:spacing w:before="120" w:after="120" w:line="240" w:lineRule="atLeast"/>
      <w:ind w:left="6480" w:hanging="180"/>
      <w:outlineLvl w:val="8"/>
    </w:pPr>
    <w:rPr>
      <w:rFonts w:cs="Times New Roman"/>
    </w:rPr>
  </w:style>
  <w:style w:type="paragraph" w:customStyle="1" w:styleId="CourtNoticeSignature">
    <w:name w:val="Court Notice Signature"/>
    <w:basedOn w:val="PlainParagraph"/>
    <w:uiPriority w:val="89"/>
    <w:unhideWhenUsed/>
    <w:rsid w:val="00030303"/>
    <w:pPr>
      <w:spacing w:before="0" w:after="0" w:line="240" w:lineRule="atLeast"/>
      <w:jc w:val="right"/>
    </w:pPr>
    <w:rPr>
      <w:rFonts w:cs="Times New Roman"/>
    </w:rPr>
  </w:style>
  <w:style w:type="paragraph" w:customStyle="1" w:styleId="AdviceDate">
    <w:name w:val="AdviceDate"/>
    <w:basedOn w:val="PlainParagraph"/>
    <w:rsid w:val="00030303"/>
    <w:pPr>
      <w:pBdr>
        <w:bottom w:val="single" w:sz="4" w:space="3" w:color="auto"/>
      </w:pBdr>
      <w:spacing w:before="0" w:after="240"/>
    </w:pPr>
    <w:rPr>
      <w:szCs w:val="20"/>
    </w:rPr>
  </w:style>
  <w:style w:type="paragraph" w:customStyle="1" w:styleId="AdviceHeading2">
    <w:name w:val="AdviceHeading2"/>
    <w:basedOn w:val="Normal"/>
    <w:next w:val="AdviceNumLevel1"/>
    <w:link w:val="AdviceHeading2Char"/>
    <w:rsid w:val="00030303"/>
    <w:pPr>
      <w:spacing w:before="200" w:after="0" w:line="240" w:lineRule="auto"/>
      <w:outlineLvl w:val="0"/>
    </w:pPr>
    <w:rPr>
      <w:rFonts w:ascii="Arial" w:eastAsia="Times New Roman" w:hAnsi="Arial" w:cs="Arial"/>
      <w:b/>
      <w:w w:val="100"/>
      <w:kern w:val="0"/>
      <w:lang w:eastAsia="en-AU"/>
    </w:rPr>
  </w:style>
  <w:style w:type="character" w:customStyle="1" w:styleId="AdviceHeading2Char">
    <w:name w:val="AdviceHeading2 Char"/>
    <w:basedOn w:val="DefaultParagraphFont"/>
    <w:link w:val="AdviceHeading2"/>
    <w:rsid w:val="00030303"/>
    <w:rPr>
      <w:rFonts w:ascii="Arial" w:eastAsia="Times New Roman" w:hAnsi="Arial" w:cs="Arial"/>
      <w:b/>
      <w:lang w:eastAsia="en-AU"/>
    </w:rPr>
  </w:style>
  <w:style w:type="paragraph" w:customStyle="1" w:styleId="AdviceNumLevel1">
    <w:name w:val="AdviceNumLevel1"/>
    <w:basedOn w:val="NumberLevel1"/>
    <w:rsid w:val="00030303"/>
    <w:pPr>
      <w:tabs>
        <w:tab w:val="clear" w:pos="709"/>
      </w:tabs>
      <w:ind w:left="720" w:hanging="360"/>
    </w:pPr>
  </w:style>
  <w:style w:type="paragraph" w:customStyle="1" w:styleId="AdvicePreparedFor">
    <w:name w:val="AdvicePreparedFor"/>
    <w:basedOn w:val="PlainParagraph"/>
    <w:link w:val="AdvicePreparedForChar"/>
    <w:rsid w:val="00030303"/>
    <w:pPr>
      <w:spacing w:before="0" w:after="0"/>
    </w:pPr>
    <w:rPr>
      <w:b/>
    </w:rPr>
  </w:style>
  <w:style w:type="character" w:customStyle="1" w:styleId="AdvicePreparedForChar">
    <w:name w:val="AdvicePreparedFor Char"/>
    <w:basedOn w:val="PlainParagraphChar"/>
    <w:link w:val="AdvicePreparedFor"/>
    <w:rsid w:val="00030303"/>
    <w:rPr>
      <w:rFonts w:ascii="Arial" w:eastAsia="Times New Roman" w:hAnsi="Arial" w:cs="Arial"/>
      <w:b/>
      <w:lang w:eastAsia="en-AU"/>
    </w:rPr>
  </w:style>
  <w:style w:type="paragraph" w:customStyle="1" w:styleId="AdviceSummary">
    <w:name w:val="AdviceSummary"/>
    <w:basedOn w:val="AdviceHeading2"/>
    <w:next w:val="PartSubHeading"/>
    <w:link w:val="AdviceSummaryChar"/>
    <w:rsid w:val="00030303"/>
    <w:pPr>
      <w:pBdr>
        <w:top w:val="single" w:sz="18" w:space="1" w:color="204558"/>
      </w:pBdr>
      <w:shd w:val="clear" w:color="365F91" w:fill="auto"/>
      <w:spacing w:before="360" w:after="120" w:line="240" w:lineRule="atLeast"/>
    </w:pPr>
    <w:rPr>
      <w:color w:val="000000"/>
      <w:sz w:val="30"/>
      <w:szCs w:val="30"/>
    </w:rPr>
  </w:style>
  <w:style w:type="character" w:customStyle="1" w:styleId="AdviceSummaryChar">
    <w:name w:val="AdviceSummary Char"/>
    <w:basedOn w:val="DefaultParagraphFont"/>
    <w:link w:val="AdviceSummary"/>
    <w:rsid w:val="00030303"/>
    <w:rPr>
      <w:rFonts w:ascii="Arial" w:eastAsia="Times New Roman" w:hAnsi="Arial" w:cs="Arial"/>
      <w:b/>
      <w:color w:val="000000"/>
      <w:sz w:val="30"/>
      <w:szCs w:val="30"/>
      <w:shd w:val="clear" w:color="365F91" w:fill="auto"/>
      <w:lang w:eastAsia="en-AU"/>
    </w:rPr>
  </w:style>
  <w:style w:type="paragraph" w:customStyle="1" w:styleId="AdviceQruleabove">
    <w:name w:val="AdviceQ rule above"/>
    <w:basedOn w:val="AdviceSummary"/>
    <w:next w:val="AdviceQuestion"/>
    <w:link w:val="AdviceQruleaboveChar"/>
    <w:autoRedefine/>
    <w:rsid w:val="00030303"/>
    <w:pPr>
      <w:pBdr>
        <w:top w:val="single" w:sz="12" w:space="1" w:color="C4DDEA"/>
      </w:pBdr>
      <w:spacing w:after="0"/>
    </w:pPr>
    <w:rPr>
      <w:sz w:val="26"/>
      <w:szCs w:val="26"/>
    </w:rPr>
  </w:style>
  <w:style w:type="character" w:customStyle="1" w:styleId="AdviceQruleaboveChar">
    <w:name w:val="AdviceQ rule above Char"/>
    <w:basedOn w:val="AdviceSummaryChar"/>
    <w:link w:val="AdviceQruleabove"/>
    <w:rsid w:val="00030303"/>
    <w:rPr>
      <w:rFonts w:ascii="Arial" w:eastAsia="Times New Roman" w:hAnsi="Arial" w:cs="Arial"/>
      <w:b/>
      <w:color w:val="000000"/>
      <w:sz w:val="26"/>
      <w:szCs w:val="26"/>
      <w:shd w:val="clear" w:color="365F91" w:fill="auto"/>
      <w:lang w:eastAsia="en-AU"/>
    </w:rPr>
  </w:style>
  <w:style w:type="paragraph" w:customStyle="1" w:styleId="AdviceQuestion">
    <w:name w:val="AdviceQuestion"/>
    <w:basedOn w:val="Heading2"/>
    <w:next w:val="NumberLevel1"/>
    <w:link w:val="AdviceQuestionChar"/>
    <w:rsid w:val="00030303"/>
    <w:pPr>
      <w:shd w:val="clear" w:color="auto" w:fill="C4DDEA"/>
      <w:spacing w:before="0" w:after="120" w:line="280" w:lineRule="atLeast"/>
    </w:pPr>
    <w:rPr>
      <w:rFonts w:ascii="Arial" w:eastAsia="Times New Roman" w:hAnsi="Arial" w:cs="Arial"/>
      <w:bCs/>
      <w:iCs/>
      <w:color w:val="4D738A"/>
      <w:sz w:val="40"/>
      <w:szCs w:val="28"/>
      <w:lang w:eastAsia="en-AU"/>
    </w:rPr>
  </w:style>
  <w:style w:type="character" w:customStyle="1" w:styleId="AdviceQuestionChar">
    <w:name w:val="AdviceQuestion Char"/>
    <w:basedOn w:val="Heading2Char"/>
    <w:link w:val="AdviceQuestion"/>
    <w:rsid w:val="00030303"/>
    <w:rPr>
      <w:rFonts w:ascii="Arial" w:eastAsia="Times New Roman" w:hAnsi="Arial" w:cs="Arial"/>
      <w:bCs/>
      <w:iCs/>
      <w:color w:val="4D738A"/>
      <w:w w:val="105"/>
      <w:kern w:val="40"/>
      <w:sz w:val="40"/>
      <w:szCs w:val="28"/>
      <w:shd w:val="clear" w:color="auto" w:fill="C4DDEA"/>
      <w:lang w:eastAsia="en-AU"/>
    </w:rPr>
  </w:style>
  <w:style w:type="paragraph" w:customStyle="1" w:styleId="AdviceTitlePara">
    <w:name w:val="AdviceTitlePara"/>
    <w:basedOn w:val="PlainParagraph"/>
    <w:next w:val="AdviceNumLevel1"/>
    <w:rsid w:val="00030303"/>
    <w:rPr>
      <w:b/>
      <w:bCs/>
      <w:color w:val="204558"/>
      <w:kern w:val="32"/>
      <w:sz w:val="30"/>
      <w:szCs w:val="30"/>
    </w:rPr>
  </w:style>
  <w:style w:type="paragraph" w:customStyle="1" w:styleId="AdviceHeading3">
    <w:name w:val="AdviceHeading3"/>
    <w:basedOn w:val="Normal"/>
    <w:next w:val="AdviceNumLevel1"/>
    <w:link w:val="AdviceHeading3Char"/>
    <w:rsid w:val="00030303"/>
    <w:pPr>
      <w:keepNext/>
      <w:keepLines/>
      <w:spacing w:before="200" w:after="0" w:line="280" w:lineRule="atLeast"/>
      <w:outlineLvl w:val="1"/>
    </w:pPr>
    <w:rPr>
      <w:rFonts w:ascii="Arial" w:eastAsia="Times New Roman" w:hAnsi="Arial" w:cs="Arial"/>
      <w:b/>
      <w:bCs/>
      <w:color w:val="204558"/>
      <w:w w:val="100"/>
      <w:kern w:val="32"/>
      <w:sz w:val="20"/>
      <w:lang w:eastAsia="en-AU"/>
    </w:rPr>
  </w:style>
  <w:style w:type="character" w:customStyle="1" w:styleId="AdviceHeading3Char">
    <w:name w:val="AdviceHeading3 Char"/>
    <w:basedOn w:val="DefaultParagraphFont"/>
    <w:link w:val="AdviceHeading3"/>
    <w:rsid w:val="00030303"/>
    <w:rPr>
      <w:rFonts w:ascii="Arial" w:eastAsia="Times New Roman" w:hAnsi="Arial" w:cs="Arial"/>
      <w:b/>
      <w:bCs/>
      <w:color w:val="204558"/>
      <w:kern w:val="32"/>
      <w:sz w:val="20"/>
      <w:lang w:eastAsia="en-AU"/>
    </w:rPr>
  </w:style>
  <w:style w:type="paragraph" w:customStyle="1" w:styleId="AdvicePP">
    <w:name w:val="Advice PP"/>
    <w:basedOn w:val="Normal"/>
    <w:link w:val="AdvicePPChar"/>
    <w:rsid w:val="00030303"/>
    <w:pPr>
      <w:spacing w:after="0" w:line="280" w:lineRule="atLeast"/>
    </w:pPr>
    <w:rPr>
      <w:rFonts w:ascii="Arial" w:eastAsia="Times New Roman" w:hAnsi="Arial" w:cs="Arial"/>
      <w:w w:val="100"/>
      <w:kern w:val="0"/>
      <w:lang w:eastAsia="en-AU"/>
    </w:rPr>
  </w:style>
  <w:style w:type="character" w:customStyle="1" w:styleId="AdvicePPChar">
    <w:name w:val="Advice PP Char"/>
    <w:basedOn w:val="DefaultParagraphFont"/>
    <w:link w:val="AdvicePP"/>
    <w:locked/>
    <w:rsid w:val="00030303"/>
    <w:rPr>
      <w:rFonts w:ascii="Arial" w:eastAsia="Times New Roman" w:hAnsi="Arial" w:cs="Arial"/>
      <w:lang w:eastAsia="en-AU"/>
    </w:rPr>
  </w:style>
  <w:style w:type="paragraph" w:customStyle="1" w:styleId="AdviceNumLevel2">
    <w:name w:val="AdviceNumLevel2"/>
    <w:basedOn w:val="NumberLevel2"/>
    <w:rsid w:val="00030303"/>
    <w:pPr>
      <w:tabs>
        <w:tab w:val="clear" w:pos="709"/>
      </w:tabs>
      <w:ind w:left="709" w:hanging="360"/>
    </w:pPr>
  </w:style>
  <w:style w:type="paragraph" w:customStyle="1" w:styleId="AdviceRef">
    <w:name w:val="AdviceRef"/>
    <w:basedOn w:val="AdviceDate"/>
    <w:rsid w:val="00030303"/>
    <w:pPr>
      <w:pBdr>
        <w:bottom w:val="none" w:sz="0" w:space="0" w:color="auto"/>
      </w:pBdr>
      <w:spacing w:after="0" w:line="240" w:lineRule="auto"/>
    </w:pPr>
  </w:style>
  <w:style w:type="paragraph" w:customStyle="1" w:styleId="AdviceQuestionNumbered">
    <w:name w:val="AdviceQuestionNumbered"/>
    <w:basedOn w:val="AdviceQuestion"/>
    <w:link w:val="AdviceQuestionNumberedChar"/>
    <w:rsid w:val="00030303"/>
    <w:pPr>
      <w:ind w:left="425" w:hanging="425"/>
    </w:pPr>
  </w:style>
  <w:style w:type="character" w:customStyle="1" w:styleId="AdviceQuestionNumberedChar">
    <w:name w:val="AdviceQuestionNumbered Char"/>
    <w:basedOn w:val="AdviceQuestionChar"/>
    <w:link w:val="AdviceQuestionNumbered"/>
    <w:rsid w:val="00030303"/>
    <w:rPr>
      <w:rFonts w:ascii="Arial" w:eastAsia="Times New Roman" w:hAnsi="Arial" w:cs="Arial"/>
      <w:bCs/>
      <w:iCs/>
      <w:color w:val="4D738A"/>
      <w:w w:val="105"/>
      <w:kern w:val="40"/>
      <w:sz w:val="40"/>
      <w:szCs w:val="28"/>
      <w:shd w:val="clear" w:color="auto" w:fill="C4DDEA"/>
      <w:lang w:eastAsia="en-AU"/>
    </w:rPr>
  </w:style>
  <w:style w:type="paragraph" w:customStyle="1" w:styleId="acthead5">
    <w:name w:val="acthead5"/>
    <w:basedOn w:val="Normal"/>
    <w:rsid w:val="00030303"/>
    <w:pPr>
      <w:spacing w:before="100" w:beforeAutospacing="1" w:after="100" w:afterAutospacing="1" w:line="240" w:lineRule="auto"/>
    </w:pPr>
    <w:rPr>
      <w:rFonts w:ascii="Times New Roman" w:eastAsia="Times New Roman" w:hAnsi="Times New Roman" w:cs="Times New Roman"/>
      <w:w w:val="100"/>
      <w:kern w:val="0"/>
      <w:sz w:val="24"/>
      <w:szCs w:val="24"/>
      <w:lang w:eastAsia="en-AU"/>
    </w:rPr>
  </w:style>
  <w:style w:type="character" w:customStyle="1" w:styleId="charsectno">
    <w:name w:val="charsectno"/>
    <w:basedOn w:val="DefaultParagraphFont"/>
    <w:rsid w:val="00030303"/>
  </w:style>
  <w:style w:type="paragraph" w:customStyle="1" w:styleId="subsection">
    <w:name w:val="subsection"/>
    <w:basedOn w:val="Normal"/>
    <w:rsid w:val="00030303"/>
    <w:pPr>
      <w:spacing w:before="100" w:beforeAutospacing="1" w:after="100" w:afterAutospacing="1" w:line="240" w:lineRule="auto"/>
    </w:pPr>
    <w:rPr>
      <w:rFonts w:ascii="Times New Roman" w:eastAsia="Times New Roman" w:hAnsi="Times New Roman" w:cs="Times New Roman"/>
      <w:w w:val="100"/>
      <w:kern w:val="0"/>
      <w:sz w:val="24"/>
      <w:szCs w:val="24"/>
      <w:lang w:eastAsia="en-AU"/>
    </w:rPr>
  </w:style>
  <w:style w:type="paragraph" w:customStyle="1" w:styleId="paragraph0">
    <w:name w:val="paragraph"/>
    <w:basedOn w:val="Normal"/>
    <w:rsid w:val="00030303"/>
    <w:pPr>
      <w:spacing w:before="100" w:beforeAutospacing="1" w:after="100" w:afterAutospacing="1" w:line="240" w:lineRule="auto"/>
    </w:pPr>
    <w:rPr>
      <w:rFonts w:ascii="Times New Roman" w:eastAsia="Times New Roman" w:hAnsi="Times New Roman" w:cs="Times New Roman"/>
      <w:w w:val="100"/>
      <w:kern w:val="0"/>
      <w:sz w:val="24"/>
      <w:szCs w:val="24"/>
      <w:lang w:eastAsia="en-AU"/>
    </w:rPr>
  </w:style>
  <w:style w:type="paragraph" w:customStyle="1" w:styleId="subsection2">
    <w:name w:val="subsection2"/>
    <w:basedOn w:val="Normal"/>
    <w:rsid w:val="00030303"/>
    <w:pPr>
      <w:spacing w:before="100" w:beforeAutospacing="1" w:after="100" w:afterAutospacing="1" w:line="240" w:lineRule="auto"/>
    </w:pPr>
    <w:rPr>
      <w:rFonts w:ascii="Times New Roman" w:eastAsia="Times New Roman" w:hAnsi="Times New Roman" w:cs="Times New Roman"/>
      <w:w w:val="100"/>
      <w:kern w:val="0"/>
      <w:sz w:val="24"/>
      <w:szCs w:val="24"/>
      <w:lang w:eastAsia="en-AU"/>
    </w:rPr>
  </w:style>
  <w:style w:type="paragraph" w:customStyle="1" w:styleId="subsectionhead">
    <w:name w:val="subsectionhead"/>
    <w:basedOn w:val="Normal"/>
    <w:rsid w:val="00030303"/>
    <w:pPr>
      <w:spacing w:before="100" w:beforeAutospacing="1" w:after="100" w:afterAutospacing="1" w:line="240" w:lineRule="auto"/>
    </w:pPr>
    <w:rPr>
      <w:rFonts w:ascii="Times New Roman" w:eastAsia="Times New Roman" w:hAnsi="Times New Roman" w:cs="Times New Roman"/>
      <w:w w:val="100"/>
      <w:kern w:val="0"/>
      <w:sz w:val="24"/>
      <w:szCs w:val="24"/>
      <w:lang w:eastAsia="en-AU"/>
    </w:rPr>
  </w:style>
  <w:style w:type="paragraph" w:customStyle="1" w:styleId="paragraphsub">
    <w:name w:val="paragraphsub"/>
    <w:basedOn w:val="Normal"/>
    <w:rsid w:val="00030303"/>
    <w:pPr>
      <w:spacing w:before="100" w:beforeAutospacing="1" w:after="100" w:afterAutospacing="1" w:line="240" w:lineRule="auto"/>
    </w:pPr>
    <w:rPr>
      <w:rFonts w:ascii="Times New Roman" w:eastAsia="Times New Roman" w:hAnsi="Times New Roman" w:cs="Times New Roman"/>
      <w:w w:val="100"/>
      <w:kern w:val="0"/>
      <w:sz w:val="24"/>
      <w:szCs w:val="24"/>
      <w:lang w:eastAsia="en-AU"/>
    </w:rPr>
  </w:style>
  <w:style w:type="paragraph" w:customStyle="1" w:styleId="penalty">
    <w:name w:val="penalty"/>
    <w:basedOn w:val="Normal"/>
    <w:rsid w:val="00030303"/>
    <w:pPr>
      <w:spacing w:before="100" w:beforeAutospacing="1" w:after="100" w:afterAutospacing="1" w:line="240" w:lineRule="auto"/>
    </w:pPr>
    <w:rPr>
      <w:rFonts w:ascii="Times New Roman" w:eastAsia="Times New Roman" w:hAnsi="Times New Roman" w:cs="Times New Roman"/>
      <w:w w:val="100"/>
      <w:kern w:val="0"/>
      <w:sz w:val="24"/>
      <w:szCs w:val="24"/>
      <w:lang w:eastAsia="en-AU"/>
    </w:rPr>
  </w:style>
  <w:style w:type="paragraph" w:styleId="Revision">
    <w:name w:val="Revision"/>
    <w:hidden/>
    <w:uiPriority w:val="99"/>
    <w:semiHidden/>
    <w:rsid w:val="00030303"/>
    <w:pPr>
      <w:spacing w:after="0" w:line="240" w:lineRule="auto"/>
    </w:pPr>
    <w:rPr>
      <w:rFonts w:ascii="Arial" w:eastAsia="Times New Roman" w:hAnsi="Arial" w:cs="Arial"/>
      <w:lang w:eastAsia="en-AU"/>
    </w:rPr>
  </w:style>
  <w:style w:type="paragraph" w:customStyle="1" w:styleId="Default">
    <w:name w:val="Default"/>
    <w:rsid w:val="00030303"/>
    <w:pPr>
      <w:autoSpaceDE w:val="0"/>
      <w:autoSpaceDN w:val="0"/>
      <w:adjustRightInd w:val="0"/>
      <w:spacing w:after="0" w:line="240" w:lineRule="auto"/>
    </w:pPr>
    <w:rPr>
      <w:rFonts w:ascii="Arial" w:eastAsia="Times New Roman" w:hAnsi="Arial" w:cs="Arial"/>
      <w:color w:val="000000"/>
      <w:sz w:val="24"/>
      <w:szCs w:val="24"/>
      <w:lang w:eastAsia="en-AU"/>
    </w:rPr>
  </w:style>
  <w:style w:type="table" w:customStyle="1" w:styleId="ColorfulGrid2">
    <w:name w:val="Colorful Grid2"/>
    <w:basedOn w:val="TableNormal"/>
    <w:next w:val="ColorfulGrid"/>
    <w:uiPriority w:val="73"/>
    <w:semiHidden/>
    <w:unhideWhenUsed/>
    <w:rsid w:val="00030303"/>
    <w:pPr>
      <w:spacing w:after="0" w:line="240" w:lineRule="auto"/>
    </w:pPr>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2">
    <w:name w:val="Colorful Grid - Accent 12"/>
    <w:basedOn w:val="TableNormal"/>
    <w:next w:val="ColorfulGrid-Accent1"/>
    <w:uiPriority w:val="73"/>
    <w:semiHidden/>
    <w:unhideWhenUsed/>
    <w:rsid w:val="00030303"/>
    <w:pPr>
      <w:spacing w:after="0" w:line="240" w:lineRule="auto"/>
    </w:pPr>
    <w:rPr>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ColorfulGrid-Accent22">
    <w:name w:val="Colorful Grid - Accent 22"/>
    <w:basedOn w:val="TableNormal"/>
    <w:next w:val="ColorfulGrid-Accent2"/>
    <w:uiPriority w:val="73"/>
    <w:semiHidden/>
    <w:unhideWhenUsed/>
    <w:rsid w:val="00030303"/>
    <w:pPr>
      <w:spacing w:after="0" w:line="240" w:lineRule="auto"/>
    </w:pPr>
    <w:rPr>
      <w:color w:val="000000"/>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customStyle="1" w:styleId="ColorfulGrid-Accent32">
    <w:name w:val="Colorful Grid - Accent 32"/>
    <w:basedOn w:val="TableNormal"/>
    <w:next w:val="ColorfulGrid-Accent3"/>
    <w:uiPriority w:val="73"/>
    <w:semiHidden/>
    <w:unhideWhenUsed/>
    <w:rsid w:val="00030303"/>
    <w:pPr>
      <w:spacing w:after="0" w:line="240" w:lineRule="auto"/>
    </w:pPr>
    <w:rPr>
      <w:color w:val="000000"/>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customStyle="1" w:styleId="ColorfulGrid-Accent42">
    <w:name w:val="Colorful Grid - Accent 42"/>
    <w:basedOn w:val="TableNormal"/>
    <w:next w:val="ColorfulGrid-Accent4"/>
    <w:uiPriority w:val="73"/>
    <w:semiHidden/>
    <w:unhideWhenUsed/>
    <w:rsid w:val="00030303"/>
    <w:pPr>
      <w:spacing w:after="0" w:line="240" w:lineRule="auto"/>
    </w:pPr>
    <w:rPr>
      <w:color w:val="000000"/>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customStyle="1" w:styleId="ColorfulGrid-Accent52">
    <w:name w:val="Colorful Grid - Accent 52"/>
    <w:basedOn w:val="TableNormal"/>
    <w:next w:val="ColorfulGrid-Accent5"/>
    <w:uiPriority w:val="73"/>
    <w:semiHidden/>
    <w:unhideWhenUsed/>
    <w:rsid w:val="00030303"/>
    <w:pPr>
      <w:spacing w:after="0" w:line="240" w:lineRule="auto"/>
    </w:pPr>
    <w:rPr>
      <w:color w:val="000000"/>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customStyle="1" w:styleId="ColorfulGrid-Accent62">
    <w:name w:val="Colorful Grid - Accent 62"/>
    <w:basedOn w:val="TableNormal"/>
    <w:next w:val="ColorfulGrid-Accent6"/>
    <w:uiPriority w:val="73"/>
    <w:semiHidden/>
    <w:unhideWhenUsed/>
    <w:rsid w:val="00030303"/>
    <w:pPr>
      <w:spacing w:after="0" w:line="240" w:lineRule="auto"/>
    </w:pPr>
    <w:rPr>
      <w:color w:val="000000"/>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customStyle="1" w:styleId="ColorfulList2">
    <w:name w:val="Colorful List2"/>
    <w:basedOn w:val="TableNormal"/>
    <w:next w:val="ColorfulList"/>
    <w:uiPriority w:val="72"/>
    <w:semiHidden/>
    <w:unhideWhenUsed/>
    <w:rsid w:val="00030303"/>
    <w:pPr>
      <w:spacing w:after="0" w:line="240" w:lineRule="auto"/>
    </w:pPr>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2">
    <w:name w:val="Colorful List - Accent 12"/>
    <w:basedOn w:val="TableNormal"/>
    <w:next w:val="ColorfulList-Accent1"/>
    <w:uiPriority w:val="72"/>
    <w:semiHidden/>
    <w:unhideWhenUsed/>
    <w:rsid w:val="00030303"/>
    <w:pPr>
      <w:spacing w:after="0" w:line="240" w:lineRule="auto"/>
    </w:pPr>
    <w:rPr>
      <w:color w:val="000000"/>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customStyle="1" w:styleId="ColorfulList-Accent22">
    <w:name w:val="Colorful List - Accent 22"/>
    <w:basedOn w:val="TableNormal"/>
    <w:next w:val="ColorfulList-Accent2"/>
    <w:uiPriority w:val="72"/>
    <w:semiHidden/>
    <w:unhideWhenUsed/>
    <w:rsid w:val="00030303"/>
    <w:pPr>
      <w:spacing w:after="0" w:line="240" w:lineRule="auto"/>
    </w:pPr>
    <w:rPr>
      <w:color w:val="000000"/>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customStyle="1" w:styleId="ColorfulList-Accent32">
    <w:name w:val="Colorful List - Accent 32"/>
    <w:basedOn w:val="TableNormal"/>
    <w:next w:val="ColorfulList-Accent3"/>
    <w:uiPriority w:val="72"/>
    <w:semiHidden/>
    <w:unhideWhenUsed/>
    <w:rsid w:val="00030303"/>
    <w:pPr>
      <w:spacing w:after="0" w:line="240" w:lineRule="auto"/>
    </w:pPr>
    <w:rPr>
      <w:color w:val="000000"/>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customStyle="1" w:styleId="ColorfulList-Accent42">
    <w:name w:val="Colorful List - Accent 42"/>
    <w:basedOn w:val="TableNormal"/>
    <w:next w:val="ColorfulList-Accent4"/>
    <w:uiPriority w:val="72"/>
    <w:semiHidden/>
    <w:unhideWhenUsed/>
    <w:rsid w:val="00030303"/>
    <w:pPr>
      <w:spacing w:after="0" w:line="240" w:lineRule="auto"/>
    </w:pPr>
    <w:rPr>
      <w:color w:val="000000"/>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customStyle="1" w:styleId="ColorfulList-Accent52">
    <w:name w:val="Colorful List - Accent 52"/>
    <w:basedOn w:val="TableNormal"/>
    <w:next w:val="ColorfulList-Accent5"/>
    <w:uiPriority w:val="72"/>
    <w:semiHidden/>
    <w:unhideWhenUsed/>
    <w:rsid w:val="00030303"/>
    <w:pPr>
      <w:spacing w:after="0" w:line="240" w:lineRule="auto"/>
    </w:pPr>
    <w:rPr>
      <w:color w:val="000000"/>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ColorfulList-Accent62">
    <w:name w:val="Colorful List - Accent 62"/>
    <w:basedOn w:val="TableNormal"/>
    <w:next w:val="ColorfulList-Accent6"/>
    <w:uiPriority w:val="72"/>
    <w:semiHidden/>
    <w:unhideWhenUsed/>
    <w:rsid w:val="00030303"/>
    <w:pPr>
      <w:spacing w:after="0" w:line="240" w:lineRule="auto"/>
    </w:pPr>
    <w:rPr>
      <w:color w:val="000000"/>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customStyle="1" w:styleId="ColorfulShading2">
    <w:name w:val="Colorful Shading2"/>
    <w:basedOn w:val="TableNormal"/>
    <w:next w:val="ColorfulShading"/>
    <w:uiPriority w:val="71"/>
    <w:semiHidden/>
    <w:unhideWhenUsed/>
    <w:rsid w:val="00030303"/>
    <w:pPr>
      <w:spacing w:after="0" w:line="240" w:lineRule="auto"/>
    </w:pPr>
    <w:rPr>
      <w:color w:val="000000"/>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2">
    <w:name w:val="Colorful Shading - Accent 12"/>
    <w:basedOn w:val="TableNormal"/>
    <w:next w:val="ColorfulShading-Accent1"/>
    <w:uiPriority w:val="71"/>
    <w:semiHidden/>
    <w:unhideWhenUsed/>
    <w:rsid w:val="00030303"/>
    <w:pPr>
      <w:spacing w:after="0" w:line="240" w:lineRule="auto"/>
    </w:pPr>
    <w:rPr>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ColorfulShading-Accent22">
    <w:name w:val="Colorful Shading - Accent 22"/>
    <w:basedOn w:val="TableNormal"/>
    <w:next w:val="ColorfulShading-Accent2"/>
    <w:uiPriority w:val="71"/>
    <w:semiHidden/>
    <w:unhideWhenUsed/>
    <w:rsid w:val="00030303"/>
    <w:pPr>
      <w:spacing w:after="0" w:line="240" w:lineRule="auto"/>
    </w:pPr>
    <w:rPr>
      <w:color w:val="000000"/>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customStyle="1" w:styleId="ColorfulShading-Accent32">
    <w:name w:val="Colorful Shading - Accent 32"/>
    <w:basedOn w:val="TableNormal"/>
    <w:next w:val="ColorfulShading-Accent3"/>
    <w:uiPriority w:val="71"/>
    <w:semiHidden/>
    <w:unhideWhenUsed/>
    <w:rsid w:val="00030303"/>
    <w:pPr>
      <w:spacing w:after="0" w:line="240" w:lineRule="auto"/>
    </w:pPr>
    <w:rPr>
      <w:color w:val="000000"/>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customStyle="1" w:styleId="ColorfulShading-Accent42">
    <w:name w:val="Colorful Shading - Accent 42"/>
    <w:basedOn w:val="TableNormal"/>
    <w:next w:val="ColorfulShading-Accent4"/>
    <w:uiPriority w:val="71"/>
    <w:semiHidden/>
    <w:unhideWhenUsed/>
    <w:rsid w:val="00030303"/>
    <w:pPr>
      <w:spacing w:after="0" w:line="240" w:lineRule="auto"/>
    </w:pPr>
    <w:rPr>
      <w:color w:val="000000"/>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customStyle="1" w:styleId="ColorfulShading-Accent52">
    <w:name w:val="Colorful Shading - Accent 52"/>
    <w:basedOn w:val="TableNormal"/>
    <w:next w:val="ColorfulShading-Accent5"/>
    <w:uiPriority w:val="71"/>
    <w:semiHidden/>
    <w:unhideWhenUsed/>
    <w:rsid w:val="00030303"/>
    <w:pPr>
      <w:spacing w:after="0" w:line="240" w:lineRule="auto"/>
    </w:pPr>
    <w:rPr>
      <w:color w:val="000000"/>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customStyle="1" w:styleId="ColorfulShading-Accent62">
    <w:name w:val="Colorful Shading - Accent 62"/>
    <w:basedOn w:val="TableNormal"/>
    <w:next w:val="ColorfulShading-Accent6"/>
    <w:uiPriority w:val="71"/>
    <w:semiHidden/>
    <w:unhideWhenUsed/>
    <w:rsid w:val="00030303"/>
    <w:pPr>
      <w:spacing w:after="0" w:line="240" w:lineRule="auto"/>
    </w:pPr>
    <w:rPr>
      <w:color w:val="000000"/>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table" w:customStyle="1" w:styleId="DarkList2">
    <w:name w:val="Dark List2"/>
    <w:basedOn w:val="TableNormal"/>
    <w:next w:val="DarkList"/>
    <w:uiPriority w:val="70"/>
    <w:semiHidden/>
    <w:unhideWhenUsed/>
    <w:rsid w:val="00030303"/>
    <w:pPr>
      <w:spacing w:after="0" w:line="240" w:lineRule="auto"/>
    </w:pPr>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2">
    <w:name w:val="Dark List - Accent 12"/>
    <w:basedOn w:val="TableNormal"/>
    <w:next w:val="DarkList-Accent1"/>
    <w:uiPriority w:val="70"/>
    <w:semiHidden/>
    <w:unhideWhenUsed/>
    <w:rsid w:val="00030303"/>
    <w:pPr>
      <w:spacing w:after="0" w:line="240" w:lineRule="auto"/>
    </w:pPr>
    <w:rPr>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DarkList-Accent22">
    <w:name w:val="Dark List - Accent 22"/>
    <w:basedOn w:val="TableNormal"/>
    <w:next w:val="DarkList-Accent2"/>
    <w:uiPriority w:val="70"/>
    <w:semiHidden/>
    <w:unhideWhenUsed/>
    <w:rsid w:val="00030303"/>
    <w:pPr>
      <w:spacing w:after="0" w:line="240" w:lineRule="auto"/>
    </w:pPr>
    <w:rPr>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DarkList-Accent32">
    <w:name w:val="Dark List - Accent 32"/>
    <w:basedOn w:val="TableNormal"/>
    <w:next w:val="DarkList-Accent3"/>
    <w:uiPriority w:val="70"/>
    <w:semiHidden/>
    <w:unhideWhenUsed/>
    <w:rsid w:val="00030303"/>
    <w:pPr>
      <w:spacing w:after="0" w:line="240" w:lineRule="auto"/>
    </w:pPr>
    <w:rPr>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DarkList-Accent42">
    <w:name w:val="Dark List - Accent 42"/>
    <w:basedOn w:val="TableNormal"/>
    <w:next w:val="DarkList-Accent4"/>
    <w:uiPriority w:val="70"/>
    <w:semiHidden/>
    <w:unhideWhenUsed/>
    <w:rsid w:val="00030303"/>
    <w:pPr>
      <w:spacing w:after="0" w:line="240" w:lineRule="auto"/>
    </w:pPr>
    <w:rPr>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DarkList-Accent52">
    <w:name w:val="Dark List - Accent 52"/>
    <w:basedOn w:val="TableNormal"/>
    <w:next w:val="DarkList-Accent5"/>
    <w:uiPriority w:val="70"/>
    <w:semiHidden/>
    <w:unhideWhenUsed/>
    <w:rsid w:val="00030303"/>
    <w:pPr>
      <w:spacing w:after="0" w:line="240" w:lineRule="auto"/>
    </w:pPr>
    <w:rPr>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DarkList-Accent62">
    <w:name w:val="Dark List - Accent 62"/>
    <w:basedOn w:val="TableNormal"/>
    <w:next w:val="DarkList-Accent6"/>
    <w:uiPriority w:val="70"/>
    <w:semiHidden/>
    <w:unhideWhenUsed/>
    <w:rsid w:val="00030303"/>
    <w:pPr>
      <w:spacing w:after="0" w:line="240" w:lineRule="auto"/>
    </w:pPr>
    <w:rPr>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paragraph" w:customStyle="1" w:styleId="EnvelopeAddress2">
    <w:name w:val="Envelope Address2"/>
    <w:basedOn w:val="Normal"/>
    <w:next w:val="EnvelopeAddress"/>
    <w:uiPriority w:val="99"/>
    <w:semiHidden/>
    <w:unhideWhenUsed/>
    <w:rsid w:val="00030303"/>
    <w:pPr>
      <w:framePr w:w="7920" w:h="1980" w:hRule="exact" w:hSpace="180" w:wrap="auto" w:hAnchor="page" w:xAlign="center" w:yAlign="bottom"/>
      <w:spacing w:after="0" w:line="240" w:lineRule="auto"/>
      <w:ind w:left="2880"/>
    </w:pPr>
    <w:rPr>
      <w:rFonts w:ascii="Calibri Light" w:eastAsia="Times New Roman" w:hAnsi="Calibri Light" w:cs="Times New Roman"/>
      <w:sz w:val="24"/>
      <w:szCs w:val="24"/>
    </w:rPr>
  </w:style>
  <w:style w:type="paragraph" w:customStyle="1" w:styleId="EnvelopeReturn2">
    <w:name w:val="Envelope Return2"/>
    <w:basedOn w:val="Normal"/>
    <w:next w:val="EnvelopeReturn"/>
    <w:uiPriority w:val="99"/>
    <w:semiHidden/>
    <w:unhideWhenUsed/>
    <w:rsid w:val="00030303"/>
    <w:pPr>
      <w:spacing w:after="0" w:line="240" w:lineRule="auto"/>
    </w:pPr>
    <w:rPr>
      <w:rFonts w:ascii="Calibri Light" w:eastAsia="Times New Roman" w:hAnsi="Calibri Light" w:cs="Times New Roman"/>
      <w:sz w:val="20"/>
      <w:szCs w:val="20"/>
    </w:rPr>
  </w:style>
  <w:style w:type="character" w:customStyle="1" w:styleId="FollowedHyperlink2">
    <w:name w:val="FollowedHyperlink2"/>
    <w:basedOn w:val="DefaultParagraphFont"/>
    <w:uiPriority w:val="99"/>
    <w:semiHidden/>
    <w:unhideWhenUsed/>
    <w:rsid w:val="00030303"/>
    <w:rPr>
      <w:color w:val="954F72"/>
      <w:u w:val="single"/>
    </w:rPr>
  </w:style>
  <w:style w:type="character" w:customStyle="1" w:styleId="IntenseEmphasis2">
    <w:name w:val="Intense Emphasis2"/>
    <w:basedOn w:val="DefaultParagraphFont"/>
    <w:uiPriority w:val="21"/>
    <w:qFormat/>
    <w:rsid w:val="00030303"/>
    <w:rPr>
      <w:i/>
      <w:iCs/>
      <w:color w:val="5B9BD5"/>
    </w:rPr>
  </w:style>
  <w:style w:type="character" w:customStyle="1" w:styleId="IntenseReference2">
    <w:name w:val="Intense Reference2"/>
    <w:basedOn w:val="DefaultParagraphFont"/>
    <w:uiPriority w:val="32"/>
    <w:qFormat/>
    <w:rsid w:val="00030303"/>
    <w:rPr>
      <w:b/>
      <w:bCs/>
      <w:smallCaps/>
      <w:color w:val="5B9BD5"/>
      <w:spacing w:val="5"/>
    </w:rPr>
  </w:style>
  <w:style w:type="table" w:customStyle="1" w:styleId="LightGrid2">
    <w:name w:val="Light Grid2"/>
    <w:basedOn w:val="TableNormal"/>
    <w:next w:val="LightGrid"/>
    <w:uiPriority w:val="62"/>
    <w:semiHidden/>
    <w:unhideWhenUsed/>
    <w:rsid w:val="00030303"/>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2">
    <w:name w:val="Light Grid - Accent 12"/>
    <w:basedOn w:val="TableNormal"/>
    <w:next w:val="LightGrid-Accent1"/>
    <w:uiPriority w:val="62"/>
    <w:semiHidden/>
    <w:unhideWhenUsed/>
    <w:rsid w:val="00030303"/>
    <w:pPr>
      <w:spacing w:after="0" w:line="240" w:lineRule="auto"/>
    </w:p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22">
    <w:name w:val="Light Grid - Accent 22"/>
    <w:basedOn w:val="TableNormal"/>
    <w:next w:val="LightGrid-Accent2"/>
    <w:uiPriority w:val="62"/>
    <w:semiHidden/>
    <w:unhideWhenUsed/>
    <w:rsid w:val="00030303"/>
    <w:pPr>
      <w:spacing w:after="0" w:line="240" w:lineRule="auto"/>
    </w:p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libri Light" w:eastAsia="Times New Roman" w:hAnsi="Calibri Light"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customStyle="1" w:styleId="LightGrid-Accent32">
    <w:name w:val="Light Grid - Accent 32"/>
    <w:basedOn w:val="TableNormal"/>
    <w:next w:val="LightGrid-Accent3"/>
    <w:uiPriority w:val="62"/>
    <w:semiHidden/>
    <w:unhideWhenUsed/>
    <w:rsid w:val="00030303"/>
    <w:pPr>
      <w:spacing w:after="0" w:line="240" w:lineRule="auto"/>
    </w:p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LightGrid-Accent42">
    <w:name w:val="Light Grid - Accent 42"/>
    <w:basedOn w:val="TableNormal"/>
    <w:next w:val="LightGrid-Accent4"/>
    <w:uiPriority w:val="62"/>
    <w:semiHidden/>
    <w:unhideWhenUsed/>
    <w:rsid w:val="00030303"/>
    <w:pPr>
      <w:spacing w:after="0" w:line="240" w:lineRule="auto"/>
    </w:p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libri Light" w:eastAsia="Times New Roman" w:hAnsi="Calibri Light"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customStyle="1" w:styleId="LightGrid-Accent52">
    <w:name w:val="Light Grid - Accent 52"/>
    <w:basedOn w:val="TableNormal"/>
    <w:next w:val="LightGrid-Accent5"/>
    <w:uiPriority w:val="62"/>
    <w:semiHidden/>
    <w:unhideWhenUsed/>
    <w:rsid w:val="00030303"/>
    <w:pPr>
      <w:spacing w:after="0" w:line="240" w:lineRule="auto"/>
    </w:p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62">
    <w:name w:val="Light Grid - Accent 62"/>
    <w:basedOn w:val="TableNormal"/>
    <w:next w:val="LightGrid-Accent6"/>
    <w:uiPriority w:val="62"/>
    <w:semiHidden/>
    <w:unhideWhenUsed/>
    <w:rsid w:val="00030303"/>
    <w:pPr>
      <w:spacing w:after="0" w:line="240" w:lineRule="auto"/>
    </w:p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libri Light" w:eastAsia="Times New Roman"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LightList2">
    <w:name w:val="Light List2"/>
    <w:basedOn w:val="TableNormal"/>
    <w:next w:val="LightList"/>
    <w:uiPriority w:val="61"/>
    <w:semiHidden/>
    <w:unhideWhenUsed/>
    <w:rsid w:val="00030303"/>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2">
    <w:name w:val="Light List - Accent 12"/>
    <w:basedOn w:val="TableNormal"/>
    <w:next w:val="LightList-Accent1"/>
    <w:uiPriority w:val="61"/>
    <w:semiHidden/>
    <w:unhideWhenUsed/>
    <w:rsid w:val="00030303"/>
    <w:pPr>
      <w:spacing w:after="0" w:line="240" w:lineRule="auto"/>
    </w:p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List-Accent22">
    <w:name w:val="Light List - Accent 22"/>
    <w:basedOn w:val="TableNormal"/>
    <w:next w:val="LightList-Accent2"/>
    <w:uiPriority w:val="61"/>
    <w:semiHidden/>
    <w:unhideWhenUsed/>
    <w:rsid w:val="00030303"/>
    <w:pPr>
      <w:spacing w:after="0" w:line="240" w:lineRule="auto"/>
    </w:p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customStyle="1" w:styleId="LightList-Accent32">
    <w:name w:val="Light List - Accent 32"/>
    <w:basedOn w:val="TableNormal"/>
    <w:next w:val="LightList-Accent3"/>
    <w:uiPriority w:val="61"/>
    <w:semiHidden/>
    <w:unhideWhenUsed/>
    <w:rsid w:val="00030303"/>
    <w:pPr>
      <w:spacing w:after="0" w:line="240" w:lineRule="auto"/>
    </w:p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ghtList-Accent42">
    <w:name w:val="Light List - Accent 42"/>
    <w:basedOn w:val="TableNormal"/>
    <w:next w:val="LightList-Accent4"/>
    <w:uiPriority w:val="61"/>
    <w:semiHidden/>
    <w:unhideWhenUsed/>
    <w:rsid w:val="00030303"/>
    <w:pPr>
      <w:spacing w:after="0" w:line="240" w:lineRule="auto"/>
    </w:p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52">
    <w:name w:val="Light List - Accent 52"/>
    <w:basedOn w:val="TableNormal"/>
    <w:next w:val="LightList-Accent5"/>
    <w:uiPriority w:val="61"/>
    <w:semiHidden/>
    <w:unhideWhenUsed/>
    <w:rsid w:val="00030303"/>
    <w:pPr>
      <w:spacing w:after="0" w:line="240" w:lineRule="auto"/>
    </w:p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62">
    <w:name w:val="Light List - Accent 62"/>
    <w:basedOn w:val="TableNormal"/>
    <w:next w:val="LightList-Accent6"/>
    <w:uiPriority w:val="61"/>
    <w:semiHidden/>
    <w:unhideWhenUsed/>
    <w:rsid w:val="00030303"/>
    <w:pPr>
      <w:spacing w:after="0" w:line="240" w:lineRule="auto"/>
    </w:p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customStyle="1" w:styleId="LightShading2">
    <w:name w:val="Light Shading2"/>
    <w:basedOn w:val="TableNormal"/>
    <w:next w:val="LightShading"/>
    <w:uiPriority w:val="60"/>
    <w:semiHidden/>
    <w:unhideWhenUsed/>
    <w:rsid w:val="00030303"/>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2">
    <w:name w:val="Light Shading - Accent 12"/>
    <w:basedOn w:val="TableNormal"/>
    <w:next w:val="LightShading-Accent1"/>
    <w:uiPriority w:val="60"/>
    <w:semiHidden/>
    <w:unhideWhenUsed/>
    <w:rsid w:val="00030303"/>
    <w:pPr>
      <w:spacing w:after="0" w:line="240" w:lineRule="auto"/>
    </w:pPr>
    <w:rPr>
      <w:color w:val="2E74B5"/>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LightShading-Accent22">
    <w:name w:val="Light Shading - Accent 22"/>
    <w:basedOn w:val="TableNormal"/>
    <w:next w:val="LightShading-Accent2"/>
    <w:uiPriority w:val="60"/>
    <w:semiHidden/>
    <w:unhideWhenUsed/>
    <w:rsid w:val="00030303"/>
    <w:pPr>
      <w:spacing w:after="0" w:line="240" w:lineRule="auto"/>
    </w:pPr>
    <w:rPr>
      <w:color w:val="C45911"/>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customStyle="1" w:styleId="LightShading-Accent32">
    <w:name w:val="Light Shading - Accent 32"/>
    <w:basedOn w:val="TableNormal"/>
    <w:next w:val="LightShading-Accent3"/>
    <w:uiPriority w:val="60"/>
    <w:semiHidden/>
    <w:unhideWhenUsed/>
    <w:rsid w:val="00030303"/>
    <w:pPr>
      <w:spacing w:after="0" w:line="240" w:lineRule="auto"/>
    </w:pPr>
    <w:rPr>
      <w:color w:val="7B7B7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customStyle="1" w:styleId="LightShading-Accent42">
    <w:name w:val="Light Shading - Accent 42"/>
    <w:basedOn w:val="TableNormal"/>
    <w:next w:val="LightShading-Accent4"/>
    <w:uiPriority w:val="60"/>
    <w:semiHidden/>
    <w:unhideWhenUsed/>
    <w:rsid w:val="00030303"/>
    <w:pPr>
      <w:spacing w:after="0" w:line="240" w:lineRule="auto"/>
    </w:pPr>
    <w:rPr>
      <w:color w:val="BF8F00"/>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customStyle="1" w:styleId="LightShading-Accent52">
    <w:name w:val="Light Shading - Accent 52"/>
    <w:basedOn w:val="TableNormal"/>
    <w:next w:val="LightShading-Accent5"/>
    <w:uiPriority w:val="60"/>
    <w:semiHidden/>
    <w:unhideWhenUsed/>
    <w:rsid w:val="00030303"/>
    <w:pPr>
      <w:spacing w:after="0" w:line="240" w:lineRule="auto"/>
    </w:pPr>
    <w:rPr>
      <w:color w:val="2F5496"/>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LightShading-Accent62">
    <w:name w:val="Light Shading - Accent 62"/>
    <w:basedOn w:val="TableNormal"/>
    <w:next w:val="LightShading-Accent6"/>
    <w:uiPriority w:val="60"/>
    <w:semiHidden/>
    <w:unhideWhenUsed/>
    <w:rsid w:val="00030303"/>
    <w:pPr>
      <w:spacing w:after="0" w:line="240" w:lineRule="auto"/>
    </w:pPr>
    <w:rPr>
      <w:color w:val="538135"/>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customStyle="1" w:styleId="MediumGrid12">
    <w:name w:val="Medium Grid 12"/>
    <w:basedOn w:val="TableNormal"/>
    <w:next w:val="MediumGrid1"/>
    <w:uiPriority w:val="67"/>
    <w:semiHidden/>
    <w:unhideWhenUsed/>
    <w:rsid w:val="00030303"/>
    <w:pPr>
      <w:spacing w:after="0" w:line="240" w:lineRule="auto"/>
    </w:p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1-Accent12">
    <w:name w:val="Medium Grid 1 - Accent 12"/>
    <w:basedOn w:val="TableNormal"/>
    <w:next w:val="MediumGrid1-Accent1"/>
    <w:uiPriority w:val="67"/>
    <w:semiHidden/>
    <w:unhideWhenUsed/>
    <w:rsid w:val="00030303"/>
    <w:pPr>
      <w:spacing w:after="0" w:line="240" w:lineRule="auto"/>
    </w:p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MediumGrid1-Accent22">
    <w:name w:val="Medium Grid 1 - Accent 22"/>
    <w:basedOn w:val="TableNormal"/>
    <w:next w:val="MediumGrid1-Accent2"/>
    <w:uiPriority w:val="67"/>
    <w:semiHidden/>
    <w:unhideWhenUsed/>
    <w:rsid w:val="00030303"/>
    <w:pPr>
      <w:spacing w:after="0" w:line="240" w:lineRule="auto"/>
    </w:p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customStyle="1" w:styleId="MediumGrid1-Accent32">
    <w:name w:val="Medium Grid 1 - Accent 32"/>
    <w:basedOn w:val="TableNormal"/>
    <w:next w:val="MediumGrid1-Accent3"/>
    <w:uiPriority w:val="67"/>
    <w:semiHidden/>
    <w:unhideWhenUsed/>
    <w:rsid w:val="00030303"/>
    <w:pPr>
      <w:spacing w:after="0" w:line="240" w:lineRule="auto"/>
    </w:p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MediumGrid1-Accent42">
    <w:name w:val="Medium Grid 1 - Accent 42"/>
    <w:basedOn w:val="TableNormal"/>
    <w:next w:val="MediumGrid1-Accent4"/>
    <w:uiPriority w:val="67"/>
    <w:semiHidden/>
    <w:unhideWhenUsed/>
    <w:rsid w:val="00030303"/>
    <w:pPr>
      <w:spacing w:after="0" w:line="240" w:lineRule="auto"/>
    </w:p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customStyle="1" w:styleId="MediumGrid1-Accent52">
    <w:name w:val="Medium Grid 1 - Accent 52"/>
    <w:basedOn w:val="TableNormal"/>
    <w:next w:val="MediumGrid1-Accent5"/>
    <w:uiPriority w:val="67"/>
    <w:semiHidden/>
    <w:unhideWhenUsed/>
    <w:rsid w:val="00030303"/>
    <w:pPr>
      <w:spacing w:after="0" w:line="240" w:lineRule="auto"/>
    </w:p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customStyle="1" w:styleId="MediumGrid1-Accent62">
    <w:name w:val="Medium Grid 1 - Accent 62"/>
    <w:basedOn w:val="TableNormal"/>
    <w:next w:val="MediumGrid1-Accent6"/>
    <w:uiPriority w:val="67"/>
    <w:semiHidden/>
    <w:unhideWhenUsed/>
    <w:rsid w:val="00030303"/>
    <w:pPr>
      <w:spacing w:after="0" w:line="240" w:lineRule="auto"/>
    </w:p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customStyle="1" w:styleId="MediumGrid22">
    <w:name w:val="Medium Grid 22"/>
    <w:basedOn w:val="TableNormal"/>
    <w:next w:val="MediumGrid2"/>
    <w:uiPriority w:val="68"/>
    <w:semiHidden/>
    <w:unhideWhenUsed/>
    <w:rsid w:val="00030303"/>
    <w:pPr>
      <w:spacing w:after="0" w:line="240" w:lineRule="auto"/>
    </w:pPr>
    <w:rPr>
      <w:rFonts w:ascii="Calibri Light" w:eastAsia="Times New Roman" w:hAnsi="Calibri Light"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2">
    <w:name w:val="Medium Grid 2 - Accent 12"/>
    <w:basedOn w:val="TableNormal"/>
    <w:next w:val="MediumGrid2-Accent1"/>
    <w:uiPriority w:val="68"/>
    <w:semiHidden/>
    <w:unhideWhenUsed/>
    <w:rsid w:val="00030303"/>
    <w:pPr>
      <w:spacing w:after="0" w:line="240" w:lineRule="auto"/>
    </w:pPr>
    <w:rPr>
      <w:rFonts w:ascii="Calibri Light" w:eastAsia="Times New Roman" w:hAnsi="Calibri Light" w:cs="Times New Roman"/>
      <w:color w:val="000000"/>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customStyle="1" w:styleId="MediumGrid2-Accent22">
    <w:name w:val="Medium Grid 2 - Accent 22"/>
    <w:basedOn w:val="TableNormal"/>
    <w:next w:val="MediumGrid2-Accent2"/>
    <w:uiPriority w:val="68"/>
    <w:semiHidden/>
    <w:unhideWhenUsed/>
    <w:rsid w:val="00030303"/>
    <w:pPr>
      <w:spacing w:after="0" w:line="240" w:lineRule="auto"/>
    </w:pPr>
    <w:rPr>
      <w:rFonts w:ascii="Calibri Light" w:eastAsia="Times New Roman" w:hAnsi="Calibri Light" w:cs="Times New Roman"/>
      <w:color w:val="000000"/>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customStyle="1" w:styleId="MediumGrid2-Accent32">
    <w:name w:val="Medium Grid 2 - Accent 32"/>
    <w:basedOn w:val="TableNormal"/>
    <w:next w:val="MediumGrid2-Accent3"/>
    <w:uiPriority w:val="68"/>
    <w:semiHidden/>
    <w:unhideWhenUsed/>
    <w:rsid w:val="00030303"/>
    <w:pPr>
      <w:spacing w:after="0" w:line="240" w:lineRule="auto"/>
    </w:pPr>
    <w:rPr>
      <w:rFonts w:ascii="Calibri Light" w:eastAsia="Times New Roman" w:hAnsi="Calibri Light" w:cs="Times New Roman"/>
      <w:color w:val="000000"/>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customStyle="1" w:styleId="MediumGrid2-Accent42">
    <w:name w:val="Medium Grid 2 - Accent 42"/>
    <w:basedOn w:val="TableNormal"/>
    <w:next w:val="MediumGrid2-Accent4"/>
    <w:uiPriority w:val="68"/>
    <w:semiHidden/>
    <w:unhideWhenUsed/>
    <w:rsid w:val="00030303"/>
    <w:pPr>
      <w:spacing w:after="0" w:line="240" w:lineRule="auto"/>
    </w:pPr>
    <w:rPr>
      <w:rFonts w:ascii="Calibri Light" w:eastAsia="Times New Roman" w:hAnsi="Calibri Light" w:cs="Times New Roman"/>
      <w:color w:val="000000"/>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customStyle="1" w:styleId="MediumGrid2-Accent52">
    <w:name w:val="Medium Grid 2 - Accent 52"/>
    <w:basedOn w:val="TableNormal"/>
    <w:next w:val="MediumGrid2-Accent5"/>
    <w:uiPriority w:val="68"/>
    <w:semiHidden/>
    <w:unhideWhenUsed/>
    <w:rsid w:val="00030303"/>
    <w:pPr>
      <w:spacing w:after="0" w:line="240" w:lineRule="auto"/>
    </w:pPr>
    <w:rPr>
      <w:rFonts w:ascii="Calibri Light" w:eastAsia="Times New Roman" w:hAnsi="Calibri Light" w:cs="Times New Roman"/>
      <w:color w:val="000000"/>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customStyle="1" w:styleId="MediumGrid2-Accent62">
    <w:name w:val="Medium Grid 2 - Accent 62"/>
    <w:basedOn w:val="TableNormal"/>
    <w:next w:val="MediumGrid2-Accent6"/>
    <w:uiPriority w:val="68"/>
    <w:semiHidden/>
    <w:unhideWhenUsed/>
    <w:rsid w:val="00030303"/>
    <w:pPr>
      <w:spacing w:after="0" w:line="240" w:lineRule="auto"/>
    </w:pPr>
    <w:rPr>
      <w:rFonts w:ascii="Calibri Light" w:eastAsia="Times New Roman" w:hAnsi="Calibri Light" w:cs="Times New Roman"/>
      <w:color w:val="000000"/>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customStyle="1" w:styleId="MediumGrid32">
    <w:name w:val="Medium Grid 32"/>
    <w:basedOn w:val="TableNormal"/>
    <w:next w:val="MediumGrid3"/>
    <w:uiPriority w:val="69"/>
    <w:semiHidden/>
    <w:unhideWhenUsed/>
    <w:rsid w:val="00030303"/>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2">
    <w:name w:val="Medium Grid 3 - Accent 12"/>
    <w:basedOn w:val="TableNormal"/>
    <w:next w:val="MediumGrid3-Accent1"/>
    <w:uiPriority w:val="69"/>
    <w:semiHidden/>
    <w:unhideWhenUsed/>
    <w:rsid w:val="00030303"/>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customStyle="1" w:styleId="MediumGrid3-Accent22">
    <w:name w:val="Medium Grid 3 - Accent 22"/>
    <w:basedOn w:val="TableNormal"/>
    <w:next w:val="MediumGrid3-Accent2"/>
    <w:uiPriority w:val="69"/>
    <w:semiHidden/>
    <w:unhideWhenUsed/>
    <w:rsid w:val="00030303"/>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customStyle="1" w:styleId="MediumGrid3-Accent32">
    <w:name w:val="Medium Grid 3 - Accent 32"/>
    <w:basedOn w:val="TableNormal"/>
    <w:next w:val="MediumGrid3-Accent3"/>
    <w:uiPriority w:val="69"/>
    <w:semiHidden/>
    <w:unhideWhenUsed/>
    <w:rsid w:val="00030303"/>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customStyle="1" w:styleId="MediumGrid3-Accent42">
    <w:name w:val="Medium Grid 3 - Accent 42"/>
    <w:basedOn w:val="TableNormal"/>
    <w:next w:val="MediumGrid3-Accent4"/>
    <w:uiPriority w:val="69"/>
    <w:semiHidden/>
    <w:unhideWhenUsed/>
    <w:rsid w:val="00030303"/>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customStyle="1" w:styleId="MediumGrid3-Accent52">
    <w:name w:val="Medium Grid 3 - Accent 52"/>
    <w:basedOn w:val="TableNormal"/>
    <w:next w:val="MediumGrid3-Accent5"/>
    <w:uiPriority w:val="69"/>
    <w:semiHidden/>
    <w:unhideWhenUsed/>
    <w:rsid w:val="00030303"/>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customStyle="1" w:styleId="MediumGrid3-Accent62">
    <w:name w:val="Medium Grid 3 - Accent 62"/>
    <w:basedOn w:val="TableNormal"/>
    <w:next w:val="MediumGrid3-Accent6"/>
    <w:uiPriority w:val="69"/>
    <w:semiHidden/>
    <w:unhideWhenUsed/>
    <w:rsid w:val="00030303"/>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MediumList12">
    <w:name w:val="Medium List 12"/>
    <w:basedOn w:val="TableNormal"/>
    <w:next w:val="MediumList1"/>
    <w:uiPriority w:val="65"/>
    <w:semiHidden/>
    <w:unhideWhenUsed/>
    <w:rsid w:val="00030303"/>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2">
    <w:name w:val="Medium List 1 - Accent 12"/>
    <w:basedOn w:val="TableNormal"/>
    <w:next w:val="MediumList1-Accent1"/>
    <w:uiPriority w:val="65"/>
    <w:semiHidden/>
    <w:unhideWhenUsed/>
    <w:rsid w:val="00030303"/>
    <w:pPr>
      <w:spacing w:after="0" w:line="240" w:lineRule="auto"/>
    </w:pPr>
    <w:rPr>
      <w:color w:val="000000"/>
    </w:rPr>
    <w:tblPr>
      <w:tblStyleRowBandSize w:val="1"/>
      <w:tblStyleColBandSize w:val="1"/>
      <w:tblBorders>
        <w:top w:val="single" w:sz="8" w:space="0" w:color="5B9BD5"/>
        <w:bottom w:val="single" w:sz="8" w:space="0" w:color="5B9BD5"/>
      </w:tblBorders>
    </w:tblPr>
    <w:tblStylePr w:type="firstRow">
      <w:rPr>
        <w:rFonts w:ascii="Calibri Light" w:eastAsia="Times New Roman" w:hAnsi="Calibri Light"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customStyle="1" w:styleId="MediumList1-Accent22">
    <w:name w:val="Medium List 1 - Accent 22"/>
    <w:basedOn w:val="TableNormal"/>
    <w:next w:val="MediumList1-Accent2"/>
    <w:uiPriority w:val="65"/>
    <w:semiHidden/>
    <w:unhideWhenUsed/>
    <w:rsid w:val="00030303"/>
    <w:pPr>
      <w:spacing w:after="0" w:line="240" w:lineRule="auto"/>
    </w:pPr>
    <w:rPr>
      <w:color w:val="000000"/>
    </w:rPr>
    <w:tblPr>
      <w:tblStyleRowBandSize w:val="1"/>
      <w:tblStyleColBandSize w:val="1"/>
      <w:tblBorders>
        <w:top w:val="single" w:sz="8" w:space="0" w:color="ED7D31"/>
        <w:bottom w:val="single" w:sz="8" w:space="0" w:color="ED7D31"/>
      </w:tblBorders>
    </w:tblPr>
    <w:tblStylePr w:type="firstRow">
      <w:rPr>
        <w:rFonts w:ascii="Calibri Light" w:eastAsia="Times New Roman" w:hAnsi="Calibri Light"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customStyle="1" w:styleId="MediumList1-Accent32">
    <w:name w:val="Medium List 1 - Accent 32"/>
    <w:basedOn w:val="TableNormal"/>
    <w:next w:val="MediumList1-Accent3"/>
    <w:uiPriority w:val="65"/>
    <w:semiHidden/>
    <w:unhideWhenUsed/>
    <w:rsid w:val="00030303"/>
    <w:pPr>
      <w:spacing w:after="0" w:line="240" w:lineRule="auto"/>
    </w:pPr>
    <w:rPr>
      <w:color w:val="000000"/>
    </w:rPr>
    <w:tblPr>
      <w:tblStyleRowBandSize w:val="1"/>
      <w:tblStyleColBandSize w:val="1"/>
      <w:tblBorders>
        <w:top w:val="single" w:sz="8" w:space="0" w:color="A5A5A5"/>
        <w:bottom w:val="single" w:sz="8" w:space="0" w:color="A5A5A5"/>
      </w:tblBorders>
    </w:tblPr>
    <w:tblStylePr w:type="firstRow">
      <w:rPr>
        <w:rFonts w:ascii="Calibri Light" w:eastAsia="Times New Roman" w:hAnsi="Calibri Light"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customStyle="1" w:styleId="MediumList1-Accent42">
    <w:name w:val="Medium List 1 - Accent 42"/>
    <w:basedOn w:val="TableNormal"/>
    <w:next w:val="MediumList1-Accent4"/>
    <w:uiPriority w:val="65"/>
    <w:semiHidden/>
    <w:unhideWhenUsed/>
    <w:rsid w:val="00030303"/>
    <w:pPr>
      <w:spacing w:after="0" w:line="240" w:lineRule="auto"/>
    </w:pPr>
    <w:rPr>
      <w:color w:val="000000"/>
    </w:rPr>
    <w:tblPr>
      <w:tblStyleRowBandSize w:val="1"/>
      <w:tblStyleColBandSize w:val="1"/>
      <w:tblBorders>
        <w:top w:val="single" w:sz="8" w:space="0" w:color="FFC000"/>
        <w:bottom w:val="single" w:sz="8" w:space="0" w:color="FFC000"/>
      </w:tblBorders>
    </w:tblPr>
    <w:tblStylePr w:type="firstRow">
      <w:rPr>
        <w:rFonts w:ascii="Calibri Light" w:eastAsia="Times New Roman" w:hAnsi="Calibri Light"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customStyle="1" w:styleId="MediumList1-Accent52">
    <w:name w:val="Medium List 1 - Accent 52"/>
    <w:basedOn w:val="TableNormal"/>
    <w:next w:val="MediumList1-Accent5"/>
    <w:uiPriority w:val="65"/>
    <w:semiHidden/>
    <w:unhideWhenUsed/>
    <w:rsid w:val="00030303"/>
    <w:pPr>
      <w:spacing w:after="0" w:line="240" w:lineRule="auto"/>
    </w:pPr>
    <w:rPr>
      <w:color w:val="000000"/>
    </w:rPr>
    <w:tblPr>
      <w:tblStyleRowBandSize w:val="1"/>
      <w:tblStyleColBandSize w:val="1"/>
      <w:tblBorders>
        <w:top w:val="single" w:sz="8" w:space="0" w:color="4472C4"/>
        <w:bottom w:val="single" w:sz="8" w:space="0" w:color="4472C4"/>
      </w:tblBorders>
    </w:tblPr>
    <w:tblStylePr w:type="firstRow">
      <w:rPr>
        <w:rFonts w:ascii="Calibri Light" w:eastAsia="Times New Roman" w:hAnsi="Calibri Light"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customStyle="1" w:styleId="MediumList1-Accent62">
    <w:name w:val="Medium List 1 - Accent 62"/>
    <w:basedOn w:val="TableNormal"/>
    <w:next w:val="MediumList1-Accent6"/>
    <w:uiPriority w:val="65"/>
    <w:semiHidden/>
    <w:unhideWhenUsed/>
    <w:rsid w:val="00030303"/>
    <w:pPr>
      <w:spacing w:after="0" w:line="240" w:lineRule="auto"/>
    </w:pPr>
    <w:rPr>
      <w:color w:val="000000"/>
    </w:rPr>
    <w:tblPr>
      <w:tblStyleRowBandSize w:val="1"/>
      <w:tblStyleColBandSize w:val="1"/>
      <w:tblBorders>
        <w:top w:val="single" w:sz="8" w:space="0" w:color="70AD47"/>
        <w:bottom w:val="single" w:sz="8" w:space="0" w:color="70AD47"/>
      </w:tblBorders>
    </w:tblPr>
    <w:tblStylePr w:type="firstRow">
      <w:rPr>
        <w:rFonts w:ascii="Calibri Light" w:eastAsia="Times New Roman" w:hAnsi="Calibri Light"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customStyle="1" w:styleId="MediumList22">
    <w:name w:val="Medium List 22"/>
    <w:basedOn w:val="TableNormal"/>
    <w:next w:val="MediumList2"/>
    <w:uiPriority w:val="66"/>
    <w:semiHidden/>
    <w:unhideWhenUsed/>
    <w:rsid w:val="00030303"/>
    <w:pPr>
      <w:spacing w:after="0" w:line="240" w:lineRule="auto"/>
    </w:pPr>
    <w:rPr>
      <w:rFonts w:ascii="Calibri Light" w:eastAsia="Times New Roman" w:hAnsi="Calibri Light"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2">
    <w:name w:val="Medium List 2 - Accent 12"/>
    <w:basedOn w:val="TableNormal"/>
    <w:next w:val="MediumList2-Accent1"/>
    <w:uiPriority w:val="66"/>
    <w:semiHidden/>
    <w:unhideWhenUsed/>
    <w:rsid w:val="00030303"/>
    <w:pPr>
      <w:spacing w:after="0" w:line="240" w:lineRule="auto"/>
    </w:pPr>
    <w:rPr>
      <w:rFonts w:ascii="Calibri Light" w:eastAsia="Times New Roman" w:hAnsi="Calibri Light" w:cs="Times New Roman"/>
      <w:color w:val="000000"/>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customStyle="1" w:styleId="MediumList2-Accent22">
    <w:name w:val="Medium List 2 - Accent 22"/>
    <w:basedOn w:val="TableNormal"/>
    <w:next w:val="MediumList2-Accent2"/>
    <w:uiPriority w:val="66"/>
    <w:semiHidden/>
    <w:unhideWhenUsed/>
    <w:rsid w:val="00030303"/>
    <w:pPr>
      <w:spacing w:after="0" w:line="240" w:lineRule="auto"/>
    </w:pPr>
    <w:rPr>
      <w:rFonts w:ascii="Calibri Light" w:eastAsia="Times New Roman" w:hAnsi="Calibri Light" w:cs="Times New Roman"/>
      <w:color w:val="000000"/>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customStyle="1" w:styleId="MediumList2-Accent32">
    <w:name w:val="Medium List 2 - Accent 32"/>
    <w:basedOn w:val="TableNormal"/>
    <w:next w:val="MediumList2-Accent3"/>
    <w:uiPriority w:val="66"/>
    <w:semiHidden/>
    <w:unhideWhenUsed/>
    <w:rsid w:val="00030303"/>
    <w:pPr>
      <w:spacing w:after="0" w:line="240" w:lineRule="auto"/>
    </w:pPr>
    <w:rPr>
      <w:rFonts w:ascii="Calibri Light" w:eastAsia="Times New Roman" w:hAnsi="Calibri Light" w:cs="Times New Roman"/>
      <w:color w:val="000000"/>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customStyle="1" w:styleId="MediumList2-Accent42">
    <w:name w:val="Medium List 2 - Accent 42"/>
    <w:basedOn w:val="TableNormal"/>
    <w:next w:val="MediumList2-Accent4"/>
    <w:uiPriority w:val="66"/>
    <w:semiHidden/>
    <w:unhideWhenUsed/>
    <w:rsid w:val="00030303"/>
    <w:pPr>
      <w:spacing w:after="0" w:line="240" w:lineRule="auto"/>
    </w:pPr>
    <w:rPr>
      <w:rFonts w:ascii="Calibri Light" w:eastAsia="Times New Roman" w:hAnsi="Calibri Light" w:cs="Times New Roman"/>
      <w:color w:val="000000"/>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customStyle="1" w:styleId="MediumList2-Accent52">
    <w:name w:val="Medium List 2 - Accent 52"/>
    <w:basedOn w:val="TableNormal"/>
    <w:next w:val="MediumList2-Accent5"/>
    <w:uiPriority w:val="66"/>
    <w:semiHidden/>
    <w:unhideWhenUsed/>
    <w:rsid w:val="00030303"/>
    <w:pPr>
      <w:spacing w:after="0" w:line="240" w:lineRule="auto"/>
    </w:pPr>
    <w:rPr>
      <w:rFonts w:ascii="Calibri Light" w:eastAsia="Times New Roman" w:hAnsi="Calibri Light" w:cs="Times New Roman"/>
      <w:color w:val="000000"/>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customStyle="1" w:styleId="MediumList2-Accent62">
    <w:name w:val="Medium List 2 - Accent 62"/>
    <w:basedOn w:val="TableNormal"/>
    <w:next w:val="MediumList2-Accent6"/>
    <w:uiPriority w:val="66"/>
    <w:semiHidden/>
    <w:unhideWhenUsed/>
    <w:rsid w:val="00030303"/>
    <w:pPr>
      <w:spacing w:after="0" w:line="240" w:lineRule="auto"/>
    </w:pPr>
    <w:rPr>
      <w:rFonts w:ascii="Calibri Light" w:eastAsia="Times New Roman" w:hAnsi="Calibri Light" w:cs="Times New Roman"/>
      <w:color w:val="000000"/>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customStyle="1" w:styleId="MediumShading12">
    <w:name w:val="Medium Shading 12"/>
    <w:basedOn w:val="TableNormal"/>
    <w:next w:val="MediumShading1"/>
    <w:uiPriority w:val="63"/>
    <w:semiHidden/>
    <w:unhideWhenUsed/>
    <w:rsid w:val="00030303"/>
    <w:pPr>
      <w:spacing w:after="0" w:line="240" w:lineRule="auto"/>
    </w:p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2">
    <w:name w:val="Medium Shading 1 - Accent 12"/>
    <w:basedOn w:val="TableNormal"/>
    <w:next w:val="MediumShading1-Accent1"/>
    <w:uiPriority w:val="63"/>
    <w:semiHidden/>
    <w:unhideWhenUsed/>
    <w:rsid w:val="00030303"/>
    <w:pPr>
      <w:spacing w:after="0" w:line="240" w:lineRule="auto"/>
    </w:p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customStyle="1" w:styleId="MediumShading1-Accent22">
    <w:name w:val="Medium Shading 1 - Accent 22"/>
    <w:basedOn w:val="TableNormal"/>
    <w:next w:val="MediumShading1-Accent2"/>
    <w:uiPriority w:val="63"/>
    <w:semiHidden/>
    <w:unhideWhenUsed/>
    <w:rsid w:val="00030303"/>
    <w:pPr>
      <w:spacing w:after="0" w:line="240" w:lineRule="auto"/>
    </w:p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customStyle="1" w:styleId="MediumShading1-Accent32">
    <w:name w:val="Medium Shading 1 - Accent 32"/>
    <w:basedOn w:val="TableNormal"/>
    <w:next w:val="MediumShading1-Accent3"/>
    <w:uiPriority w:val="63"/>
    <w:semiHidden/>
    <w:unhideWhenUsed/>
    <w:rsid w:val="00030303"/>
    <w:pPr>
      <w:spacing w:after="0" w:line="240" w:lineRule="auto"/>
    </w:p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MediumShading1-Accent42">
    <w:name w:val="Medium Shading 1 - Accent 42"/>
    <w:basedOn w:val="TableNormal"/>
    <w:next w:val="MediumShading1-Accent4"/>
    <w:uiPriority w:val="63"/>
    <w:semiHidden/>
    <w:unhideWhenUsed/>
    <w:rsid w:val="00030303"/>
    <w:pPr>
      <w:spacing w:after="0" w:line="240" w:lineRule="auto"/>
    </w:p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customStyle="1" w:styleId="MediumShading1-Accent52">
    <w:name w:val="Medium Shading 1 - Accent 52"/>
    <w:basedOn w:val="TableNormal"/>
    <w:next w:val="MediumShading1-Accent5"/>
    <w:uiPriority w:val="63"/>
    <w:semiHidden/>
    <w:unhideWhenUsed/>
    <w:rsid w:val="00030303"/>
    <w:pPr>
      <w:spacing w:after="0" w:line="240" w:lineRule="auto"/>
    </w:p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MediumShading1-Accent62">
    <w:name w:val="Medium Shading 1 - Accent 62"/>
    <w:basedOn w:val="TableNormal"/>
    <w:next w:val="MediumShading1-Accent6"/>
    <w:uiPriority w:val="63"/>
    <w:semiHidden/>
    <w:unhideWhenUsed/>
    <w:rsid w:val="00030303"/>
    <w:pPr>
      <w:spacing w:after="0" w:line="240" w:lineRule="auto"/>
    </w:p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customStyle="1" w:styleId="MediumShading22">
    <w:name w:val="Medium Shading 22"/>
    <w:basedOn w:val="TableNormal"/>
    <w:next w:val="MediumShading2"/>
    <w:uiPriority w:val="64"/>
    <w:semiHidden/>
    <w:unhideWhenUsed/>
    <w:rsid w:val="0003030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customStyle="1" w:styleId="MediumShading2-Accent12">
    <w:name w:val="Medium Shading 2 - Accent 12"/>
    <w:basedOn w:val="TableNormal"/>
    <w:next w:val="MediumShading2-Accent1"/>
    <w:uiPriority w:val="64"/>
    <w:semiHidden/>
    <w:unhideWhenUsed/>
    <w:rsid w:val="0003030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customStyle="1" w:styleId="MediumShading2-Accent22">
    <w:name w:val="Medium Shading 2 - Accent 22"/>
    <w:basedOn w:val="TableNormal"/>
    <w:next w:val="MediumShading2-Accent2"/>
    <w:uiPriority w:val="64"/>
    <w:semiHidden/>
    <w:unhideWhenUsed/>
    <w:rsid w:val="0003030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customStyle="1" w:styleId="MediumShading2-Accent32">
    <w:name w:val="Medium Shading 2 - Accent 32"/>
    <w:basedOn w:val="TableNormal"/>
    <w:next w:val="MediumShading2-Accent3"/>
    <w:uiPriority w:val="64"/>
    <w:semiHidden/>
    <w:unhideWhenUsed/>
    <w:rsid w:val="0003030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customStyle="1" w:styleId="MediumShading2-Accent42">
    <w:name w:val="Medium Shading 2 - Accent 42"/>
    <w:basedOn w:val="TableNormal"/>
    <w:next w:val="MediumShading2-Accent4"/>
    <w:uiPriority w:val="64"/>
    <w:semiHidden/>
    <w:unhideWhenUsed/>
    <w:rsid w:val="0003030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customStyle="1" w:styleId="MediumShading2-Accent52">
    <w:name w:val="Medium Shading 2 - Accent 52"/>
    <w:basedOn w:val="TableNormal"/>
    <w:next w:val="MediumShading2-Accent5"/>
    <w:uiPriority w:val="64"/>
    <w:semiHidden/>
    <w:unhideWhenUsed/>
    <w:rsid w:val="0003030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customStyle="1" w:styleId="MediumShading2-Accent62">
    <w:name w:val="Medium Shading 2 - Accent 62"/>
    <w:basedOn w:val="TableNormal"/>
    <w:next w:val="MediumShading2-Accent6"/>
    <w:uiPriority w:val="64"/>
    <w:semiHidden/>
    <w:unhideWhenUsed/>
    <w:rsid w:val="0003030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paragraph" w:customStyle="1" w:styleId="MessageHeader2">
    <w:name w:val="Message Header2"/>
    <w:basedOn w:val="Normal"/>
    <w:next w:val="MessageHeader"/>
    <w:link w:val="MessageHeaderChar"/>
    <w:uiPriority w:val="99"/>
    <w:semiHidden/>
    <w:unhideWhenUsed/>
    <w:rsid w:val="0003030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libri Light" w:eastAsia="Times New Roman" w:hAnsi="Calibri Light" w:cs="Times New Roman"/>
      <w:sz w:val="24"/>
      <w:szCs w:val="24"/>
    </w:rPr>
  </w:style>
  <w:style w:type="character" w:customStyle="1" w:styleId="MessageHeaderChar">
    <w:name w:val="Message Header Char"/>
    <w:basedOn w:val="DefaultParagraphFont"/>
    <w:link w:val="MessageHeader2"/>
    <w:uiPriority w:val="99"/>
    <w:semiHidden/>
    <w:rsid w:val="00030303"/>
    <w:rPr>
      <w:rFonts w:ascii="Calibri Light" w:eastAsia="Times New Roman" w:hAnsi="Calibri Light" w:cs="Times New Roman"/>
      <w:w w:val="105"/>
      <w:kern w:val="40"/>
      <w:sz w:val="24"/>
      <w:szCs w:val="24"/>
      <w:shd w:val="pct20" w:color="auto" w:fill="auto"/>
    </w:rPr>
  </w:style>
  <w:style w:type="character" w:customStyle="1" w:styleId="SubtleEmphasis2">
    <w:name w:val="Subtle Emphasis2"/>
    <w:basedOn w:val="DefaultParagraphFont"/>
    <w:uiPriority w:val="19"/>
    <w:qFormat/>
    <w:rsid w:val="00030303"/>
    <w:rPr>
      <w:i/>
      <w:iCs/>
      <w:color w:val="404040"/>
    </w:rPr>
  </w:style>
  <w:style w:type="character" w:customStyle="1" w:styleId="SubtleReference2">
    <w:name w:val="Subtle Reference2"/>
    <w:basedOn w:val="DefaultParagraphFont"/>
    <w:uiPriority w:val="31"/>
    <w:qFormat/>
    <w:rsid w:val="00030303"/>
    <w:rPr>
      <w:smallCaps/>
      <w:color w:val="5A5A5A"/>
    </w:rPr>
  </w:style>
  <w:style w:type="table" w:customStyle="1" w:styleId="GridTable1Light2">
    <w:name w:val="Grid Table 1 Light2"/>
    <w:basedOn w:val="TableNormal"/>
    <w:next w:val="GridTable1Light"/>
    <w:uiPriority w:val="46"/>
    <w:rsid w:val="00030303"/>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2">
    <w:name w:val="Grid Table 1 Light - Accent 12"/>
    <w:basedOn w:val="TableNormal"/>
    <w:next w:val="GridTable1Light-Accent1"/>
    <w:uiPriority w:val="46"/>
    <w:rsid w:val="00030303"/>
    <w:pPr>
      <w:spacing w:after="0" w:line="240" w:lineRule="auto"/>
    </w:p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GridTable1Light-Accent22">
    <w:name w:val="Grid Table 1 Light - Accent 22"/>
    <w:basedOn w:val="TableNormal"/>
    <w:next w:val="GridTable1Light-Accent2"/>
    <w:uiPriority w:val="46"/>
    <w:rsid w:val="00030303"/>
    <w:pPr>
      <w:spacing w:after="0" w:line="240" w:lineRule="auto"/>
    </w:p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GridTable1Light-Accent32">
    <w:name w:val="Grid Table 1 Light - Accent 32"/>
    <w:basedOn w:val="TableNormal"/>
    <w:next w:val="GridTable1Light-Accent3"/>
    <w:uiPriority w:val="46"/>
    <w:rsid w:val="00030303"/>
    <w:pPr>
      <w:spacing w:after="0" w:line="240" w:lineRule="auto"/>
    </w:p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GridTable1Light-Accent42">
    <w:name w:val="Grid Table 1 Light - Accent 42"/>
    <w:basedOn w:val="TableNormal"/>
    <w:next w:val="GridTable1Light-Accent4"/>
    <w:uiPriority w:val="46"/>
    <w:rsid w:val="00030303"/>
    <w:pPr>
      <w:spacing w:after="0" w:line="240" w:lineRule="auto"/>
    </w:p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GridTable1Light-Accent52">
    <w:name w:val="Grid Table 1 Light - Accent 52"/>
    <w:basedOn w:val="TableNormal"/>
    <w:next w:val="GridTable1Light-Accent5"/>
    <w:uiPriority w:val="46"/>
    <w:rsid w:val="00030303"/>
    <w:pPr>
      <w:spacing w:after="0" w:line="240" w:lineRule="auto"/>
    </w:p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ridTable1Light-Accent62">
    <w:name w:val="Grid Table 1 Light - Accent 62"/>
    <w:basedOn w:val="TableNormal"/>
    <w:next w:val="GridTable1Light-Accent6"/>
    <w:uiPriority w:val="46"/>
    <w:rsid w:val="00030303"/>
    <w:pPr>
      <w:spacing w:after="0" w:line="240" w:lineRule="auto"/>
    </w:p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GridTable22">
    <w:name w:val="Grid Table 22"/>
    <w:basedOn w:val="TableNormal"/>
    <w:next w:val="GridTable2"/>
    <w:uiPriority w:val="47"/>
    <w:rsid w:val="00030303"/>
    <w:pPr>
      <w:spacing w:after="0" w:line="240" w:lineRule="auto"/>
    </w:p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2-Accent12">
    <w:name w:val="Grid Table 2 - Accent 12"/>
    <w:basedOn w:val="TableNormal"/>
    <w:next w:val="GridTable2-Accent1"/>
    <w:uiPriority w:val="47"/>
    <w:rsid w:val="00030303"/>
    <w:pPr>
      <w:spacing w:after="0" w:line="240" w:lineRule="auto"/>
    </w:p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2-Accent22">
    <w:name w:val="Grid Table 2 - Accent 22"/>
    <w:basedOn w:val="TableNormal"/>
    <w:next w:val="GridTable2-Accent2"/>
    <w:uiPriority w:val="47"/>
    <w:rsid w:val="00030303"/>
    <w:pPr>
      <w:spacing w:after="0" w:line="240" w:lineRule="auto"/>
    </w:pPr>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2-Accent32">
    <w:name w:val="Grid Table 2 - Accent 32"/>
    <w:basedOn w:val="TableNormal"/>
    <w:next w:val="GridTable2-Accent3"/>
    <w:uiPriority w:val="47"/>
    <w:rsid w:val="00030303"/>
    <w:pPr>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2-Accent42">
    <w:name w:val="Grid Table 2 - Accent 42"/>
    <w:basedOn w:val="TableNormal"/>
    <w:next w:val="GridTable2-Accent4"/>
    <w:uiPriority w:val="47"/>
    <w:rsid w:val="00030303"/>
    <w:pPr>
      <w:spacing w:after="0" w:line="240" w:lineRule="auto"/>
    </w:p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ridTable2-Accent52">
    <w:name w:val="Grid Table 2 - Accent 52"/>
    <w:basedOn w:val="TableNormal"/>
    <w:next w:val="GridTable2-Accent5"/>
    <w:uiPriority w:val="47"/>
    <w:rsid w:val="00030303"/>
    <w:pPr>
      <w:spacing w:after="0" w:line="240" w:lineRule="auto"/>
    </w:p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2-Accent62">
    <w:name w:val="Grid Table 2 - Accent 62"/>
    <w:basedOn w:val="TableNormal"/>
    <w:next w:val="GridTable2-Accent6"/>
    <w:uiPriority w:val="47"/>
    <w:rsid w:val="00030303"/>
    <w:pPr>
      <w:spacing w:after="0" w:line="240" w:lineRule="auto"/>
    </w:p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32">
    <w:name w:val="Grid Table 32"/>
    <w:basedOn w:val="TableNormal"/>
    <w:next w:val="GridTable3"/>
    <w:uiPriority w:val="48"/>
    <w:rsid w:val="00030303"/>
    <w:pPr>
      <w:spacing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3-Accent12">
    <w:name w:val="Grid Table 3 - Accent 12"/>
    <w:basedOn w:val="TableNormal"/>
    <w:next w:val="GridTable3-Accent1"/>
    <w:uiPriority w:val="48"/>
    <w:rsid w:val="00030303"/>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GridTable3-Accent22">
    <w:name w:val="Grid Table 3 - Accent 22"/>
    <w:basedOn w:val="TableNormal"/>
    <w:next w:val="GridTable3-Accent2"/>
    <w:uiPriority w:val="48"/>
    <w:rsid w:val="00030303"/>
    <w:pPr>
      <w:spacing w:after="0" w:line="240" w:lineRule="auto"/>
    </w:p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customStyle="1" w:styleId="GridTable3-Accent32">
    <w:name w:val="Grid Table 3 - Accent 32"/>
    <w:basedOn w:val="TableNormal"/>
    <w:next w:val="GridTable3-Accent3"/>
    <w:uiPriority w:val="48"/>
    <w:rsid w:val="00030303"/>
    <w:pPr>
      <w:spacing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customStyle="1" w:styleId="GridTable3-Accent42">
    <w:name w:val="Grid Table 3 - Accent 42"/>
    <w:basedOn w:val="TableNormal"/>
    <w:next w:val="GridTable3-Accent4"/>
    <w:uiPriority w:val="48"/>
    <w:rsid w:val="00030303"/>
    <w:pPr>
      <w:spacing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customStyle="1" w:styleId="GridTable3-Accent52">
    <w:name w:val="Grid Table 3 - Accent 52"/>
    <w:basedOn w:val="TableNormal"/>
    <w:next w:val="GridTable3-Accent5"/>
    <w:uiPriority w:val="48"/>
    <w:rsid w:val="00030303"/>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GridTable3-Accent62">
    <w:name w:val="Grid Table 3 - Accent 62"/>
    <w:basedOn w:val="TableNormal"/>
    <w:next w:val="GridTable3-Accent6"/>
    <w:uiPriority w:val="48"/>
    <w:rsid w:val="00030303"/>
    <w:pPr>
      <w:spacing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customStyle="1" w:styleId="GridTable42">
    <w:name w:val="Grid Table 42"/>
    <w:basedOn w:val="TableNormal"/>
    <w:next w:val="GridTable4"/>
    <w:uiPriority w:val="49"/>
    <w:rsid w:val="00030303"/>
    <w:pPr>
      <w:spacing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4-Accent12">
    <w:name w:val="Grid Table 4 - Accent 12"/>
    <w:basedOn w:val="TableNormal"/>
    <w:next w:val="GridTable4-Accent1"/>
    <w:uiPriority w:val="49"/>
    <w:rsid w:val="00030303"/>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22">
    <w:name w:val="Grid Table 4 - Accent 22"/>
    <w:basedOn w:val="TableNormal"/>
    <w:next w:val="GridTable4-Accent2"/>
    <w:uiPriority w:val="49"/>
    <w:rsid w:val="00030303"/>
    <w:pPr>
      <w:spacing w:after="0" w:line="240" w:lineRule="auto"/>
    </w:p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4-Accent32">
    <w:name w:val="Grid Table 4 - Accent 32"/>
    <w:basedOn w:val="TableNormal"/>
    <w:next w:val="GridTable4-Accent3"/>
    <w:uiPriority w:val="49"/>
    <w:rsid w:val="00030303"/>
    <w:pPr>
      <w:spacing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2">
    <w:name w:val="Grid Table 4 - Accent 42"/>
    <w:basedOn w:val="TableNormal"/>
    <w:next w:val="GridTable4-Accent4"/>
    <w:uiPriority w:val="49"/>
    <w:rsid w:val="00030303"/>
    <w:pPr>
      <w:spacing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ridTable4-Accent52">
    <w:name w:val="Grid Table 4 - Accent 52"/>
    <w:basedOn w:val="TableNormal"/>
    <w:next w:val="GridTable4-Accent5"/>
    <w:uiPriority w:val="49"/>
    <w:rsid w:val="00030303"/>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62">
    <w:name w:val="Grid Table 4 - Accent 62"/>
    <w:basedOn w:val="TableNormal"/>
    <w:next w:val="GridTable4-Accent6"/>
    <w:uiPriority w:val="49"/>
    <w:rsid w:val="00030303"/>
    <w:pPr>
      <w:spacing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5Dark2">
    <w:name w:val="Grid Table 5 Dark2"/>
    <w:basedOn w:val="TableNormal"/>
    <w:next w:val="GridTable5Dark"/>
    <w:uiPriority w:val="50"/>
    <w:rsid w:val="00030303"/>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GridTable5Dark-Accent12">
    <w:name w:val="Grid Table 5 Dark - Accent 12"/>
    <w:basedOn w:val="TableNormal"/>
    <w:next w:val="GridTable5Dark-Accent1"/>
    <w:uiPriority w:val="50"/>
    <w:rsid w:val="00030303"/>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22">
    <w:name w:val="Grid Table 5 Dark - Accent 22"/>
    <w:basedOn w:val="TableNormal"/>
    <w:next w:val="GridTable5Dark-Accent2"/>
    <w:uiPriority w:val="50"/>
    <w:rsid w:val="00030303"/>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GridTable5Dark-Accent32">
    <w:name w:val="Grid Table 5 Dark - Accent 32"/>
    <w:basedOn w:val="TableNormal"/>
    <w:next w:val="GridTable5Dark-Accent3"/>
    <w:uiPriority w:val="50"/>
    <w:rsid w:val="00030303"/>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GridTable5Dark-Accent42">
    <w:name w:val="Grid Table 5 Dark - Accent 42"/>
    <w:basedOn w:val="TableNormal"/>
    <w:next w:val="GridTable5Dark-Accent4"/>
    <w:uiPriority w:val="50"/>
    <w:rsid w:val="00030303"/>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GridTable5Dark-Accent52">
    <w:name w:val="Grid Table 5 Dark - Accent 52"/>
    <w:basedOn w:val="TableNormal"/>
    <w:next w:val="GridTable5Dark-Accent5"/>
    <w:uiPriority w:val="50"/>
    <w:rsid w:val="00030303"/>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GridTable5Dark-Accent62">
    <w:name w:val="Grid Table 5 Dark - Accent 62"/>
    <w:basedOn w:val="TableNormal"/>
    <w:next w:val="GridTable5Dark-Accent6"/>
    <w:uiPriority w:val="50"/>
    <w:rsid w:val="00030303"/>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6Colorful2">
    <w:name w:val="Grid Table 6 Colorful2"/>
    <w:basedOn w:val="TableNormal"/>
    <w:next w:val="GridTable6Colorful"/>
    <w:uiPriority w:val="51"/>
    <w:rsid w:val="00030303"/>
    <w:pPr>
      <w:spacing w:after="0" w:line="240" w:lineRule="auto"/>
    </w:pPr>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6Colorful-Accent12">
    <w:name w:val="Grid Table 6 Colorful - Accent 12"/>
    <w:basedOn w:val="TableNormal"/>
    <w:next w:val="GridTable6Colorful-Accent1"/>
    <w:uiPriority w:val="51"/>
    <w:rsid w:val="00030303"/>
    <w:pPr>
      <w:spacing w:after="0" w:line="240" w:lineRule="auto"/>
    </w:pPr>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6Colorful-Accent22">
    <w:name w:val="Grid Table 6 Colorful - Accent 22"/>
    <w:basedOn w:val="TableNormal"/>
    <w:next w:val="GridTable6Colorful-Accent2"/>
    <w:uiPriority w:val="51"/>
    <w:rsid w:val="00030303"/>
    <w:pPr>
      <w:spacing w:after="0" w:line="240" w:lineRule="auto"/>
    </w:pPr>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6Colorful-Accent32">
    <w:name w:val="Grid Table 6 Colorful - Accent 32"/>
    <w:basedOn w:val="TableNormal"/>
    <w:next w:val="GridTable6Colorful-Accent3"/>
    <w:uiPriority w:val="51"/>
    <w:rsid w:val="00030303"/>
    <w:pPr>
      <w:spacing w:after="0" w:line="240" w:lineRule="auto"/>
    </w:pPr>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6Colorful-Accent42">
    <w:name w:val="Grid Table 6 Colorful - Accent 42"/>
    <w:basedOn w:val="TableNormal"/>
    <w:next w:val="GridTable6Colorful-Accent4"/>
    <w:uiPriority w:val="51"/>
    <w:rsid w:val="00030303"/>
    <w:pPr>
      <w:spacing w:after="0" w:line="240" w:lineRule="auto"/>
    </w:pPr>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bottom w:val="single" w:sz="12" w:space="0" w:color="FFD966"/>
        </w:tcBorders>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ridTable6Colorful-Accent52">
    <w:name w:val="Grid Table 6 Colorful - Accent 52"/>
    <w:basedOn w:val="TableNormal"/>
    <w:next w:val="GridTable6Colorful-Accent5"/>
    <w:uiPriority w:val="51"/>
    <w:rsid w:val="00030303"/>
    <w:pPr>
      <w:spacing w:after="0" w:line="240" w:lineRule="auto"/>
    </w:pPr>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6Colorful-Accent62">
    <w:name w:val="Grid Table 6 Colorful - Accent 62"/>
    <w:basedOn w:val="TableNormal"/>
    <w:next w:val="GridTable6Colorful-Accent6"/>
    <w:uiPriority w:val="51"/>
    <w:rsid w:val="00030303"/>
    <w:pPr>
      <w:spacing w:after="0" w:line="240" w:lineRule="auto"/>
    </w:pPr>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7Colorful2">
    <w:name w:val="Grid Table 7 Colorful2"/>
    <w:basedOn w:val="TableNormal"/>
    <w:next w:val="GridTable7Colorful"/>
    <w:uiPriority w:val="52"/>
    <w:rsid w:val="00030303"/>
    <w:pPr>
      <w:spacing w:after="0" w:line="240" w:lineRule="auto"/>
    </w:pPr>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7Colorful-Accent12">
    <w:name w:val="Grid Table 7 Colorful - Accent 12"/>
    <w:basedOn w:val="TableNormal"/>
    <w:next w:val="GridTable7Colorful-Accent1"/>
    <w:uiPriority w:val="52"/>
    <w:rsid w:val="00030303"/>
    <w:pPr>
      <w:spacing w:after="0" w:line="240" w:lineRule="auto"/>
    </w:pPr>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GridTable7Colorful-Accent22">
    <w:name w:val="Grid Table 7 Colorful - Accent 22"/>
    <w:basedOn w:val="TableNormal"/>
    <w:next w:val="GridTable7Colorful-Accent2"/>
    <w:uiPriority w:val="52"/>
    <w:rsid w:val="00030303"/>
    <w:pPr>
      <w:spacing w:after="0" w:line="240" w:lineRule="auto"/>
    </w:pPr>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customStyle="1" w:styleId="GridTable7Colorful-Accent32">
    <w:name w:val="Grid Table 7 Colorful - Accent 32"/>
    <w:basedOn w:val="TableNormal"/>
    <w:next w:val="GridTable7Colorful-Accent3"/>
    <w:uiPriority w:val="52"/>
    <w:rsid w:val="00030303"/>
    <w:pPr>
      <w:spacing w:after="0" w:line="240" w:lineRule="auto"/>
    </w:pPr>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customStyle="1" w:styleId="GridTable7Colorful-Accent42">
    <w:name w:val="Grid Table 7 Colorful - Accent 42"/>
    <w:basedOn w:val="TableNormal"/>
    <w:next w:val="GridTable7Colorful-Accent4"/>
    <w:uiPriority w:val="52"/>
    <w:rsid w:val="00030303"/>
    <w:pPr>
      <w:spacing w:after="0" w:line="240" w:lineRule="auto"/>
    </w:pPr>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customStyle="1" w:styleId="GridTable7Colorful-Accent52">
    <w:name w:val="Grid Table 7 Colorful - Accent 52"/>
    <w:basedOn w:val="TableNormal"/>
    <w:next w:val="GridTable7Colorful-Accent5"/>
    <w:uiPriority w:val="52"/>
    <w:rsid w:val="00030303"/>
    <w:pPr>
      <w:spacing w:after="0" w:line="240" w:lineRule="auto"/>
    </w:pPr>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GridTable7Colorful-Accent62">
    <w:name w:val="Grid Table 7 Colorful - Accent 62"/>
    <w:basedOn w:val="TableNormal"/>
    <w:next w:val="GridTable7Colorful-Accent6"/>
    <w:uiPriority w:val="52"/>
    <w:rsid w:val="00030303"/>
    <w:pPr>
      <w:spacing w:after="0" w:line="240" w:lineRule="auto"/>
    </w:pPr>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customStyle="1" w:styleId="ListTable1Light2">
    <w:name w:val="List Table 1 Light2"/>
    <w:basedOn w:val="TableNormal"/>
    <w:next w:val="ListTable1Light"/>
    <w:uiPriority w:val="46"/>
    <w:rsid w:val="00030303"/>
    <w:pPr>
      <w:spacing w:after="0" w:line="240" w:lineRule="auto"/>
    </w:p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1Light-Accent12">
    <w:name w:val="List Table 1 Light - Accent 12"/>
    <w:basedOn w:val="TableNormal"/>
    <w:next w:val="ListTable1Light-Accent1"/>
    <w:uiPriority w:val="46"/>
    <w:rsid w:val="00030303"/>
    <w:pPr>
      <w:spacing w:after="0" w:line="240" w:lineRule="auto"/>
    </w:pPr>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Table1Light-Accent22">
    <w:name w:val="List Table 1 Light - Accent 22"/>
    <w:basedOn w:val="TableNormal"/>
    <w:next w:val="ListTable1Light-Accent2"/>
    <w:uiPriority w:val="46"/>
    <w:rsid w:val="00030303"/>
    <w:pPr>
      <w:spacing w:after="0" w:line="240" w:lineRule="auto"/>
    </w:pPr>
    <w:tblPr>
      <w:tblStyleRowBandSize w:val="1"/>
      <w:tblStyleColBandSize w:val="1"/>
    </w:tblPr>
    <w:tblStylePr w:type="firstRow">
      <w:rPr>
        <w:b/>
        <w:bCs/>
      </w:rPr>
      <w:tblPr/>
      <w:tcPr>
        <w:tcBorders>
          <w:bottom w:val="single" w:sz="4" w:space="0" w:color="F4B083"/>
        </w:tcBorders>
      </w:tcPr>
    </w:tblStylePr>
    <w:tblStylePr w:type="lastRow">
      <w:rPr>
        <w:b/>
        <w:bCs/>
      </w:rPr>
      <w:tblPr/>
      <w:tcPr>
        <w:tcBorders>
          <w:top w:val="sing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1Light-Accent32">
    <w:name w:val="List Table 1 Light - Accent 32"/>
    <w:basedOn w:val="TableNormal"/>
    <w:next w:val="ListTable1Light-Accent3"/>
    <w:uiPriority w:val="46"/>
    <w:rsid w:val="00030303"/>
    <w:pPr>
      <w:spacing w:after="0" w:line="240" w:lineRule="auto"/>
    </w:pPr>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ListTable1Light-Accent42">
    <w:name w:val="List Table 1 Light - Accent 42"/>
    <w:basedOn w:val="TableNormal"/>
    <w:next w:val="ListTable1Light-Accent4"/>
    <w:uiPriority w:val="46"/>
    <w:rsid w:val="00030303"/>
    <w:pPr>
      <w:spacing w:after="0" w:line="240" w:lineRule="auto"/>
    </w:pPr>
    <w:tblPr>
      <w:tblStyleRowBandSize w:val="1"/>
      <w:tblStyleColBandSize w:val="1"/>
    </w:tblPr>
    <w:tblStylePr w:type="firstRow">
      <w:rPr>
        <w:b/>
        <w:bCs/>
      </w:rPr>
      <w:tblPr/>
      <w:tcPr>
        <w:tcBorders>
          <w:bottom w:val="single" w:sz="4" w:space="0" w:color="FFD966"/>
        </w:tcBorders>
      </w:tcPr>
    </w:tblStylePr>
    <w:tblStylePr w:type="lastRow">
      <w:rPr>
        <w:b/>
        <w:bCs/>
      </w:rPr>
      <w:tblPr/>
      <w:tcPr>
        <w:tcBorders>
          <w:top w:val="sing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ListTable1Light-Accent52">
    <w:name w:val="List Table 1 Light - Accent 52"/>
    <w:basedOn w:val="TableNormal"/>
    <w:next w:val="ListTable1Light-Accent5"/>
    <w:uiPriority w:val="46"/>
    <w:rsid w:val="00030303"/>
    <w:pPr>
      <w:spacing w:after="0" w:line="240" w:lineRule="auto"/>
    </w:p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1Light-Accent62">
    <w:name w:val="List Table 1 Light - Accent 62"/>
    <w:basedOn w:val="TableNormal"/>
    <w:next w:val="ListTable1Light-Accent6"/>
    <w:uiPriority w:val="46"/>
    <w:rsid w:val="00030303"/>
    <w:pPr>
      <w:spacing w:after="0" w:line="240" w:lineRule="auto"/>
    </w:pPr>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ListTable22">
    <w:name w:val="List Table 22"/>
    <w:basedOn w:val="TableNormal"/>
    <w:next w:val="ListTable2"/>
    <w:uiPriority w:val="47"/>
    <w:rsid w:val="00030303"/>
    <w:pPr>
      <w:spacing w:after="0" w:line="240" w:lineRule="auto"/>
    </w:p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2-Accent12">
    <w:name w:val="List Table 2 - Accent 12"/>
    <w:basedOn w:val="TableNormal"/>
    <w:next w:val="ListTable2-Accent1"/>
    <w:uiPriority w:val="47"/>
    <w:rsid w:val="00030303"/>
    <w:pPr>
      <w:spacing w:after="0" w:line="240" w:lineRule="auto"/>
    </w:pPr>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Table2-Accent22">
    <w:name w:val="List Table 2 - Accent 22"/>
    <w:basedOn w:val="TableNormal"/>
    <w:next w:val="ListTable2-Accent2"/>
    <w:uiPriority w:val="47"/>
    <w:rsid w:val="00030303"/>
    <w:pPr>
      <w:spacing w:after="0" w:line="240" w:lineRule="auto"/>
    </w:pPr>
    <w:tblPr>
      <w:tblStyleRowBandSize w:val="1"/>
      <w:tblStyleColBandSize w:val="1"/>
      <w:tblBorders>
        <w:top w:val="single" w:sz="4" w:space="0" w:color="F4B083"/>
        <w:bottom w:val="single" w:sz="4" w:space="0" w:color="F4B083"/>
        <w:insideH w:val="single" w:sz="4" w:space="0" w:color="F4B08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2-Accent32">
    <w:name w:val="List Table 2 - Accent 32"/>
    <w:basedOn w:val="TableNormal"/>
    <w:next w:val="ListTable2-Accent3"/>
    <w:uiPriority w:val="47"/>
    <w:rsid w:val="00030303"/>
    <w:pPr>
      <w:spacing w:after="0" w:line="240" w:lineRule="auto"/>
    </w:pPr>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ListTable2-Accent42">
    <w:name w:val="List Table 2 - Accent 42"/>
    <w:basedOn w:val="TableNormal"/>
    <w:next w:val="ListTable2-Accent4"/>
    <w:uiPriority w:val="47"/>
    <w:rsid w:val="00030303"/>
    <w:pPr>
      <w:spacing w:after="0" w:line="240" w:lineRule="auto"/>
    </w:pPr>
    <w:tblPr>
      <w:tblStyleRowBandSize w:val="1"/>
      <w:tblStyleColBandSize w:val="1"/>
      <w:tblBorders>
        <w:top w:val="single" w:sz="4" w:space="0" w:color="FFD966"/>
        <w:bottom w:val="single" w:sz="4" w:space="0" w:color="FFD966"/>
        <w:insideH w:val="single" w:sz="4" w:space="0" w:color="FFD9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ListTable2-Accent52">
    <w:name w:val="List Table 2 - Accent 52"/>
    <w:basedOn w:val="TableNormal"/>
    <w:next w:val="ListTable2-Accent5"/>
    <w:uiPriority w:val="47"/>
    <w:rsid w:val="00030303"/>
    <w:pPr>
      <w:spacing w:after="0" w:line="240" w:lineRule="auto"/>
    </w:pPr>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2-Accent62">
    <w:name w:val="List Table 2 - Accent 62"/>
    <w:basedOn w:val="TableNormal"/>
    <w:next w:val="ListTable2-Accent6"/>
    <w:uiPriority w:val="47"/>
    <w:rsid w:val="00030303"/>
    <w:pPr>
      <w:spacing w:after="0" w:line="240" w:lineRule="auto"/>
    </w:pPr>
    <w:tblPr>
      <w:tblStyleRowBandSize w:val="1"/>
      <w:tblStyleColBandSize w:val="1"/>
      <w:tblBorders>
        <w:top w:val="single" w:sz="4" w:space="0" w:color="A8D08D"/>
        <w:bottom w:val="single" w:sz="4" w:space="0" w:color="A8D08D"/>
        <w:insideH w:val="single" w:sz="4" w:space="0" w:color="A8D0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ListTable32">
    <w:name w:val="List Table 32"/>
    <w:basedOn w:val="TableNormal"/>
    <w:next w:val="ListTable3"/>
    <w:uiPriority w:val="48"/>
    <w:rsid w:val="00030303"/>
    <w:pPr>
      <w:spacing w:after="0" w:line="240" w:lineRule="auto"/>
    </w:p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Accent12">
    <w:name w:val="List Table 3 - Accent 12"/>
    <w:basedOn w:val="TableNormal"/>
    <w:next w:val="ListTable3-Accent1"/>
    <w:uiPriority w:val="48"/>
    <w:rsid w:val="00030303"/>
    <w:pPr>
      <w:spacing w:after="0" w:line="240" w:lineRule="auto"/>
    </w:p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ListTable3-Accent22">
    <w:name w:val="List Table 3 - Accent 22"/>
    <w:basedOn w:val="TableNormal"/>
    <w:next w:val="ListTable3-Accent2"/>
    <w:uiPriority w:val="48"/>
    <w:rsid w:val="00030303"/>
    <w:pPr>
      <w:spacing w:after="0" w:line="240" w:lineRule="auto"/>
    </w:p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ListTable3-Accent32">
    <w:name w:val="List Table 3 - Accent 32"/>
    <w:basedOn w:val="TableNormal"/>
    <w:next w:val="ListTable3-Accent3"/>
    <w:uiPriority w:val="48"/>
    <w:rsid w:val="00030303"/>
    <w:pPr>
      <w:spacing w:after="0" w:line="240" w:lineRule="auto"/>
    </w:pPr>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customStyle="1" w:styleId="ListTable3-Accent42">
    <w:name w:val="List Table 3 - Accent 42"/>
    <w:basedOn w:val="TableNormal"/>
    <w:next w:val="ListTable3-Accent4"/>
    <w:uiPriority w:val="48"/>
    <w:rsid w:val="00030303"/>
    <w:pPr>
      <w:spacing w:after="0" w:line="240" w:lineRule="auto"/>
    </w:pPr>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customStyle="1" w:styleId="ListTable3-Accent52">
    <w:name w:val="List Table 3 - Accent 52"/>
    <w:basedOn w:val="TableNormal"/>
    <w:next w:val="ListTable3-Accent5"/>
    <w:uiPriority w:val="48"/>
    <w:rsid w:val="00030303"/>
    <w:pPr>
      <w:spacing w:after="0" w:line="240" w:lineRule="auto"/>
    </w:p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ListTable3-Accent62">
    <w:name w:val="List Table 3 - Accent 62"/>
    <w:basedOn w:val="TableNormal"/>
    <w:next w:val="ListTable3-Accent6"/>
    <w:uiPriority w:val="48"/>
    <w:rsid w:val="00030303"/>
    <w:pPr>
      <w:spacing w:after="0" w:line="240" w:lineRule="auto"/>
    </w:p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customStyle="1" w:styleId="ListTable42">
    <w:name w:val="List Table 42"/>
    <w:basedOn w:val="TableNormal"/>
    <w:next w:val="ListTable4"/>
    <w:uiPriority w:val="49"/>
    <w:rsid w:val="00030303"/>
    <w:pPr>
      <w:spacing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4-Accent12">
    <w:name w:val="List Table 4 - Accent 12"/>
    <w:basedOn w:val="TableNormal"/>
    <w:next w:val="ListTable4-Accent1"/>
    <w:uiPriority w:val="49"/>
    <w:rsid w:val="00030303"/>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Table4-Accent22">
    <w:name w:val="List Table 4 - Accent 22"/>
    <w:basedOn w:val="TableNormal"/>
    <w:next w:val="ListTable4-Accent2"/>
    <w:uiPriority w:val="49"/>
    <w:rsid w:val="00030303"/>
    <w:pPr>
      <w:spacing w:after="0" w:line="240" w:lineRule="auto"/>
    </w:p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4-Accent32">
    <w:name w:val="List Table 4 - Accent 32"/>
    <w:basedOn w:val="TableNormal"/>
    <w:next w:val="ListTable4-Accent3"/>
    <w:uiPriority w:val="49"/>
    <w:rsid w:val="00030303"/>
    <w:pPr>
      <w:spacing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ListTable4-Accent42">
    <w:name w:val="List Table 4 - Accent 42"/>
    <w:basedOn w:val="TableNormal"/>
    <w:next w:val="ListTable4-Accent4"/>
    <w:uiPriority w:val="49"/>
    <w:rsid w:val="00030303"/>
    <w:pPr>
      <w:spacing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tcBorders>
        <w:shd w:val="clear" w:color="auto" w:fill="FFC000"/>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ListTable4-Accent52">
    <w:name w:val="List Table 4 - Accent 52"/>
    <w:basedOn w:val="TableNormal"/>
    <w:next w:val="ListTable4-Accent5"/>
    <w:uiPriority w:val="49"/>
    <w:rsid w:val="00030303"/>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4-Accent62">
    <w:name w:val="List Table 4 - Accent 62"/>
    <w:basedOn w:val="TableNormal"/>
    <w:next w:val="ListTable4-Accent6"/>
    <w:uiPriority w:val="49"/>
    <w:rsid w:val="00030303"/>
    <w:pPr>
      <w:spacing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ListTable5Dark2">
    <w:name w:val="List Table 5 Dark2"/>
    <w:basedOn w:val="TableNormal"/>
    <w:next w:val="ListTable5Dark"/>
    <w:uiPriority w:val="50"/>
    <w:rsid w:val="00030303"/>
    <w:pPr>
      <w:spacing w:after="0" w:line="240" w:lineRule="auto"/>
    </w:pPr>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2">
    <w:name w:val="List Table 5 Dark - Accent 12"/>
    <w:basedOn w:val="TableNormal"/>
    <w:next w:val="ListTable5Dark-Accent1"/>
    <w:uiPriority w:val="50"/>
    <w:rsid w:val="00030303"/>
    <w:pPr>
      <w:spacing w:after="0" w:line="240" w:lineRule="auto"/>
    </w:pPr>
    <w:rPr>
      <w:color w:val="FFFFFF"/>
    </w:rPr>
    <w:tblPr>
      <w:tblStyleRowBandSize w:val="1"/>
      <w:tblStyleColBandSize w:val="1"/>
      <w:tblBorders>
        <w:top w:val="single" w:sz="24" w:space="0" w:color="5B9BD5"/>
        <w:left w:val="single" w:sz="24" w:space="0" w:color="5B9BD5"/>
        <w:bottom w:val="single" w:sz="24" w:space="0" w:color="5B9BD5"/>
        <w:right w:val="single" w:sz="24" w:space="0" w:color="5B9BD5"/>
      </w:tblBorders>
    </w:tblPr>
    <w:tcPr>
      <w:shd w:val="clear" w:color="auto" w:fill="5B9BD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2">
    <w:name w:val="List Table 5 Dark - Accent 22"/>
    <w:basedOn w:val="TableNormal"/>
    <w:next w:val="ListTable5Dark-Accent2"/>
    <w:uiPriority w:val="50"/>
    <w:rsid w:val="00030303"/>
    <w:pPr>
      <w:spacing w:after="0" w:line="240" w:lineRule="auto"/>
    </w:pPr>
    <w:rPr>
      <w:color w:val="FFFFFF"/>
    </w:rPr>
    <w:tblPr>
      <w:tblStyleRowBandSize w:val="1"/>
      <w:tblStyleColBandSize w:val="1"/>
      <w:tblBorders>
        <w:top w:val="single" w:sz="24" w:space="0" w:color="ED7D31"/>
        <w:left w:val="single" w:sz="24" w:space="0" w:color="ED7D31"/>
        <w:bottom w:val="single" w:sz="24" w:space="0" w:color="ED7D31"/>
        <w:right w:val="single" w:sz="24" w:space="0" w:color="ED7D31"/>
      </w:tblBorders>
    </w:tblPr>
    <w:tcPr>
      <w:shd w:val="clear" w:color="auto" w:fill="ED7D31"/>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2">
    <w:name w:val="List Table 5 Dark - Accent 32"/>
    <w:basedOn w:val="TableNormal"/>
    <w:next w:val="ListTable5Dark-Accent3"/>
    <w:uiPriority w:val="50"/>
    <w:rsid w:val="00030303"/>
    <w:pPr>
      <w:spacing w:after="0" w:line="240" w:lineRule="auto"/>
    </w:pPr>
    <w:rPr>
      <w:color w:val="FFFFFF"/>
    </w:rPr>
    <w:tblPr>
      <w:tblStyleRowBandSize w:val="1"/>
      <w:tblStyleColBandSize w:val="1"/>
      <w:tblBorders>
        <w:top w:val="single" w:sz="24" w:space="0" w:color="A5A5A5"/>
        <w:left w:val="single" w:sz="24" w:space="0" w:color="A5A5A5"/>
        <w:bottom w:val="single" w:sz="24" w:space="0" w:color="A5A5A5"/>
        <w:right w:val="single" w:sz="24" w:space="0" w:color="A5A5A5"/>
      </w:tblBorders>
    </w:tblPr>
    <w:tcPr>
      <w:shd w:val="clear" w:color="auto" w:fill="A5A5A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2">
    <w:name w:val="List Table 5 Dark - Accent 42"/>
    <w:basedOn w:val="TableNormal"/>
    <w:next w:val="ListTable5Dark-Accent4"/>
    <w:uiPriority w:val="50"/>
    <w:rsid w:val="00030303"/>
    <w:pPr>
      <w:spacing w:after="0" w:line="240" w:lineRule="auto"/>
    </w:pPr>
    <w:rPr>
      <w:color w:val="FFFFFF"/>
    </w:rPr>
    <w:tblPr>
      <w:tblStyleRowBandSize w:val="1"/>
      <w:tblStyleColBandSize w:val="1"/>
      <w:tblBorders>
        <w:top w:val="single" w:sz="24" w:space="0" w:color="FFC000"/>
        <w:left w:val="single" w:sz="24" w:space="0" w:color="FFC000"/>
        <w:bottom w:val="single" w:sz="24" w:space="0" w:color="FFC000"/>
        <w:right w:val="single" w:sz="24" w:space="0" w:color="FFC000"/>
      </w:tblBorders>
    </w:tblPr>
    <w:tcPr>
      <w:shd w:val="clear" w:color="auto" w:fill="FFC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2">
    <w:name w:val="List Table 5 Dark - Accent 52"/>
    <w:basedOn w:val="TableNormal"/>
    <w:next w:val="ListTable5Dark-Accent5"/>
    <w:uiPriority w:val="50"/>
    <w:rsid w:val="00030303"/>
    <w:pPr>
      <w:spacing w:after="0" w:line="240" w:lineRule="auto"/>
    </w:pPr>
    <w:rPr>
      <w:color w:val="FFFFFF"/>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2">
    <w:name w:val="List Table 5 Dark - Accent 62"/>
    <w:basedOn w:val="TableNormal"/>
    <w:next w:val="ListTable5Dark-Accent6"/>
    <w:uiPriority w:val="50"/>
    <w:rsid w:val="00030303"/>
    <w:pPr>
      <w:spacing w:after="0" w:line="240" w:lineRule="auto"/>
    </w:pPr>
    <w:rPr>
      <w:color w:val="FFFFFF"/>
    </w:rPr>
    <w:tblPr>
      <w:tblStyleRowBandSize w:val="1"/>
      <w:tblStyleColBandSize w:val="1"/>
      <w:tblBorders>
        <w:top w:val="single" w:sz="24" w:space="0" w:color="70AD47"/>
        <w:left w:val="single" w:sz="24" w:space="0" w:color="70AD47"/>
        <w:bottom w:val="single" w:sz="24" w:space="0" w:color="70AD47"/>
        <w:right w:val="single" w:sz="24" w:space="0" w:color="70AD47"/>
      </w:tblBorders>
    </w:tblPr>
    <w:tcPr>
      <w:shd w:val="clear" w:color="auto" w:fill="70AD4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2">
    <w:name w:val="List Table 6 Colorful2"/>
    <w:basedOn w:val="TableNormal"/>
    <w:next w:val="ListTable6Colorful"/>
    <w:uiPriority w:val="51"/>
    <w:rsid w:val="00030303"/>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Accent12">
    <w:name w:val="List Table 6 Colorful - Accent 12"/>
    <w:basedOn w:val="TableNormal"/>
    <w:next w:val="ListTable6Colorful-Accent1"/>
    <w:uiPriority w:val="51"/>
    <w:rsid w:val="00030303"/>
    <w:pPr>
      <w:spacing w:after="0" w:line="240" w:lineRule="auto"/>
    </w:pPr>
    <w:rPr>
      <w:color w:val="2E74B5"/>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Table6Colorful-Accent22">
    <w:name w:val="List Table 6 Colorful - Accent 22"/>
    <w:basedOn w:val="TableNormal"/>
    <w:next w:val="ListTable6Colorful-Accent2"/>
    <w:uiPriority w:val="51"/>
    <w:rsid w:val="00030303"/>
    <w:pPr>
      <w:spacing w:after="0" w:line="240" w:lineRule="auto"/>
    </w:pPr>
    <w:rPr>
      <w:color w:val="C45911"/>
    </w:rPr>
    <w:tblPr>
      <w:tblStyleRowBandSize w:val="1"/>
      <w:tblStyleColBandSize w:val="1"/>
      <w:tblBorders>
        <w:top w:val="single" w:sz="4" w:space="0" w:color="ED7D31"/>
        <w:bottom w:val="single" w:sz="4" w:space="0" w:color="ED7D31"/>
      </w:tblBorders>
    </w:tblPr>
    <w:tblStylePr w:type="firstRow">
      <w:rPr>
        <w:b/>
        <w:bCs/>
      </w:rPr>
      <w:tblPr/>
      <w:tcPr>
        <w:tcBorders>
          <w:bottom w:val="single" w:sz="4" w:space="0" w:color="ED7D31"/>
        </w:tcBorders>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6Colorful-Accent32">
    <w:name w:val="List Table 6 Colorful - Accent 32"/>
    <w:basedOn w:val="TableNormal"/>
    <w:next w:val="ListTable6Colorful-Accent3"/>
    <w:uiPriority w:val="51"/>
    <w:rsid w:val="00030303"/>
    <w:pPr>
      <w:spacing w:after="0" w:line="240" w:lineRule="auto"/>
    </w:pPr>
    <w:rPr>
      <w:color w:val="7B7B7B"/>
    </w:rPr>
    <w:tblPr>
      <w:tblStyleRowBandSize w:val="1"/>
      <w:tblStyleColBandSize w:val="1"/>
      <w:tblBorders>
        <w:top w:val="single" w:sz="4" w:space="0" w:color="A5A5A5"/>
        <w:bottom w:val="single" w:sz="4" w:space="0" w:color="A5A5A5"/>
      </w:tblBorders>
    </w:tblPr>
    <w:tblStylePr w:type="firstRow">
      <w:rPr>
        <w:b/>
        <w:bCs/>
      </w:rPr>
      <w:tblPr/>
      <w:tcPr>
        <w:tcBorders>
          <w:bottom w:val="single" w:sz="4" w:space="0" w:color="A5A5A5"/>
        </w:tcBorders>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ListTable6Colorful-Accent42">
    <w:name w:val="List Table 6 Colorful - Accent 42"/>
    <w:basedOn w:val="TableNormal"/>
    <w:next w:val="ListTable6Colorful-Accent4"/>
    <w:uiPriority w:val="51"/>
    <w:rsid w:val="00030303"/>
    <w:pPr>
      <w:spacing w:after="0" w:line="240" w:lineRule="auto"/>
    </w:pPr>
    <w:rPr>
      <w:color w:val="BF8F00"/>
    </w:rPr>
    <w:tblPr>
      <w:tblStyleRowBandSize w:val="1"/>
      <w:tblStyleColBandSize w:val="1"/>
      <w:tblBorders>
        <w:top w:val="single" w:sz="4" w:space="0" w:color="FFC000"/>
        <w:bottom w:val="single" w:sz="4" w:space="0" w:color="FFC000"/>
      </w:tblBorders>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ListTable6Colorful-Accent52">
    <w:name w:val="List Table 6 Colorful - Accent 52"/>
    <w:basedOn w:val="TableNormal"/>
    <w:next w:val="ListTable6Colorful-Accent5"/>
    <w:uiPriority w:val="51"/>
    <w:rsid w:val="00030303"/>
    <w:pPr>
      <w:spacing w:after="0" w:line="240" w:lineRule="auto"/>
    </w:pPr>
    <w:rPr>
      <w:color w:val="2F5496"/>
    </w:rPr>
    <w:tblPr>
      <w:tblStyleRowBandSize w:val="1"/>
      <w:tblStyleColBandSize w:val="1"/>
      <w:tblBorders>
        <w:top w:val="single" w:sz="4" w:space="0" w:color="4472C4"/>
        <w:bottom w:val="single" w:sz="4" w:space="0" w:color="4472C4"/>
      </w:tblBorders>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6Colorful-Accent62">
    <w:name w:val="List Table 6 Colorful - Accent 62"/>
    <w:basedOn w:val="TableNormal"/>
    <w:next w:val="ListTable6Colorful-Accent6"/>
    <w:uiPriority w:val="51"/>
    <w:rsid w:val="00030303"/>
    <w:pPr>
      <w:spacing w:after="0" w:line="240" w:lineRule="auto"/>
    </w:pPr>
    <w:rPr>
      <w:color w:val="538135"/>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ListTable7Colorful2">
    <w:name w:val="List Table 7 Colorful2"/>
    <w:basedOn w:val="TableNormal"/>
    <w:next w:val="ListTable7Colorful"/>
    <w:uiPriority w:val="52"/>
    <w:rsid w:val="00030303"/>
    <w:pPr>
      <w:spacing w:after="0" w:line="240" w:lineRule="auto"/>
    </w:pPr>
    <w:rPr>
      <w:color w:val="0000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2">
    <w:name w:val="List Table 7 Colorful - Accent 12"/>
    <w:basedOn w:val="TableNormal"/>
    <w:next w:val="ListTable7Colorful-Accent1"/>
    <w:uiPriority w:val="52"/>
    <w:rsid w:val="00030303"/>
    <w:pPr>
      <w:spacing w:after="0" w:line="240" w:lineRule="auto"/>
    </w:pPr>
    <w:rPr>
      <w:color w:val="2E74B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5B9BD5"/>
        </w:tcBorders>
        <w:shd w:val="clear" w:color="auto" w:fill="FFFFFF"/>
      </w:tcPr>
    </w:tblStylePr>
    <w:tblStylePr w:type="lastRow">
      <w:rPr>
        <w:rFonts w:ascii="Calibri Light" w:eastAsia="Times New Roman" w:hAnsi="Calibri Light" w:cs="Times New Roman"/>
        <w:i/>
        <w:iCs/>
        <w:sz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5B9BD5"/>
        </w:tcBorders>
        <w:shd w:val="clear" w:color="auto" w:fill="FFFFFF"/>
      </w:tcPr>
    </w:tblStylePr>
    <w:tblStylePr w:type="lastCol">
      <w:rPr>
        <w:rFonts w:ascii="Calibri Light" w:eastAsia="Times New Roman" w:hAnsi="Calibri Light"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2">
    <w:name w:val="List Table 7 Colorful - Accent 22"/>
    <w:basedOn w:val="TableNormal"/>
    <w:next w:val="ListTable7Colorful-Accent2"/>
    <w:uiPriority w:val="52"/>
    <w:rsid w:val="00030303"/>
    <w:pPr>
      <w:spacing w:after="0" w:line="240" w:lineRule="auto"/>
    </w:pPr>
    <w:rPr>
      <w:color w:val="C45911"/>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ED7D31"/>
        </w:tcBorders>
        <w:shd w:val="clear" w:color="auto" w:fill="FFFFFF"/>
      </w:tcPr>
    </w:tblStylePr>
    <w:tblStylePr w:type="lastRow">
      <w:rPr>
        <w:rFonts w:ascii="Calibri Light" w:eastAsia="Times New Roman" w:hAnsi="Calibri Light" w:cs="Times New Roman"/>
        <w:i/>
        <w:iCs/>
        <w:sz w:val="26"/>
      </w:rPr>
      <w:tblPr/>
      <w:tcPr>
        <w:tcBorders>
          <w:top w:val="single" w:sz="4" w:space="0" w:color="ED7D31"/>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ED7D31"/>
        </w:tcBorders>
        <w:shd w:val="clear" w:color="auto" w:fill="FFFFFF"/>
      </w:tcPr>
    </w:tblStylePr>
    <w:tblStylePr w:type="lastCol">
      <w:rPr>
        <w:rFonts w:ascii="Calibri Light" w:eastAsia="Times New Roman" w:hAnsi="Calibri Light" w:cs="Times New Roman"/>
        <w:i/>
        <w:iCs/>
        <w:sz w:val="26"/>
      </w:rPr>
      <w:tblPr/>
      <w:tcPr>
        <w:tcBorders>
          <w:left w:val="single" w:sz="4" w:space="0" w:color="ED7D31"/>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2">
    <w:name w:val="List Table 7 Colorful - Accent 32"/>
    <w:basedOn w:val="TableNormal"/>
    <w:next w:val="ListTable7Colorful-Accent3"/>
    <w:uiPriority w:val="52"/>
    <w:rsid w:val="00030303"/>
    <w:pPr>
      <w:spacing w:after="0" w:line="240" w:lineRule="auto"/>
    </w:pPr>
    <w:rPr>
      <w:color w:val="7B7B7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A5A5A5"/>
        </w:tcBorders>
        <w:shd w:val="clear" w:color="auto" w:fill="FFFFFF"/>
      </w:tcPr>
    </w:tblStylePr>
    <w:tblStylePr w:type="lastRow">
      <w:rPr>
        <w:rFonts w:ascii="Calibri Light" w:eastAsia="Times New Roman" w:hAnsi="Calibri Light" w:cs="Times New Roman"/>
        <w:i/>
        <w:iCs/>
        <w:sz w:val="26"/>
      </w:rPr>
      <w:tblPr/>
      <w:tcPr>
        <w:tcBorders>
          <w:top w:val="single" w:sz="4" w:space="0" w:color="A5A5A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A5A5A5"/>
        </w:tcBorders>
        <w:shd w:val="clear" w:color="auto" w:fill="FFFFFF"/>
      </w:tcPr>
    </w:tblStylePr>
    <w:tblStylePr w:type="lastCol">
      <w:rPr>
        <w:rFonts w:ascii="Calibri Light" w:eastAsia="Times New Roman" w:hAnsi="Calibri Light" w:cs="Times New Roman"/>
        <w:i/>
        <w:iCs/>
        <w:sz w:val="26"/>
      </w:rPr>
      <w:tblPr/>
      <w:tcPr>
        <w:tcBorders>
          <w:left w:val="single" w:sz="4" w:space="0" w:color="A5A5A5"/>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2">
    <w:name w:val="List Table 7 Colorful - Accent 42"/>
    <w:basedOn w:val="TableNormal"/>
    <w:next w:val="ListTable7Colorful-Accent4"/>
    <w:uiPriority w:val="52"/>
    <w:rsid w:val="00030303"/>
    <w:pPr>
      <w:spacing w:after="0" w:line="240" w:lineRule="auto"/>
    </w:pPr>
    <w:rPr>
      <w:color w:val="BF8F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FFC000"/>
        </w:tcBorders>
        <w:shd w:val="clear" w:color="auto" w:fill="FFFFFF"/>
      </w:tcPr>
    </w:tblStylePr>
    <w:tblStylePr w:type="lastRow">
      <w:rPr>
        <w:rFonts w:ascii="Calibri Light" w:eastAsia="Times New Roman" w:hAnsi="Calibri Light" w:cs="Times New Roman"/>
        <w:i/>
        <w:iCs/>
        <w:sz w:val="26"/>
      </w:rPr>
      <w:tblPr/>
      <w:tcPr>
        <w:tcBorders>
          <w:top w:val="single" w:sz="4" w:space="0" w:color="FFC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FFC000"/>
        </w:tcBorders>
        <w:shd w:val="clear" w:color="auto" w:fill="FFFFFF"/>
      </w:tcPr>
    </w:tblStylePr>
    <w:tblStylePr w:type="lastCol">
      <w:rPr>
        <w:rFonts w:ascii="Calibri Light" w:eastAsia="Times New Roman" w:hAnsi="Calibri Light" w:cs="Times New Roman"/>
        <w:i/>
        <w:iCs/>
        <w:sz w:val="26"/>
      </w:rPr>
      <w:tblPr/>
      <w:tcPr>
        <w:tcBorders>
          <w:left w:val="single" w:sz="4" w:space="0" w:color="FFC000"/>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2">
    <w:name w:val="List Table 7 Colorful - Accent 52"/>
    <w:basedOn w:val="TableNormal"/>
    <w:next w:val="ListTable7Colorful-Accent5"/>
    <w:uiPriority w:val="52"/>
    <w:rsid w:val="00030303"/>
    <w:pPr>
      <w:spacing w:after="0" w:line="240" w:lineRule="auto"/>
    </w:pPr>
    <w:rPr>
      <w:color w:val="2F5496"/>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4472C4"/>
        </w:tcBorders>
        <w:shd w:val="clear" w:color="auto" w:fill="FFFFFF"/>
      </w:tcPr>
    </w:tblStylePr>
    <w:tblStylePr w:type="lastRow">
      <w:rPr>
        <w:rFonts w:ascii="Calibri Light" w:eastAsia="Times New Roman" w:hAnsi="Calibri Light" w:cs="Times New Roman"/>
        <w:i/>
        <w:iCs/>
        <w:sz w:val="26"/>
      </w:rPr>
      <w:tblPr/>
      <w:tcPr>
        <w:tcBorders>
          <w:top w:val="single" w:sz="4" w:space="0" w:color="4472C4"/>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4472C4"/>
        </w:tcBorders>
        <w:shd w:val="clear" w:color="auto" w:fill="FFFFFF"/>
      </w:tcPr>
    </w:tblStylePr>
    <w:tblStylePr w:type="lastCol">
      <w:rPr>
        <w:rFonts w:ascii="Calibri Light" w:eastAsia="Times New Roman" w:hAnsi="Calibri Light" w:cs="Times New Roman"/>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2">
    <w:name w:val="List Table 7 Colorful - Accent 62"/>
    <w:basedOn w:val="TableNormal"/>
    <w:next w:val="ListTable7Colorful-Accent6"/>
    <w:uiPriority w:val="52"/>
    <w:rsid w:val="00030303"/>
    <w:pPr>
      <w:spacing w:after="0" w:line="240" w:lineRule="auto"/>
    </w:pPr>
    <w:rPr>
      <w:color w:val="53813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0AD47"/>
        </w:tcBorders>
        <w:shd w:val="clear" w:color="auto" w:fill="FFFFFF"/>
      </w:tcPr>
    </w:tblStylePr>
    <w:tblStylePr w:type="lastRow">
      <w:rPr>
        <w:rFonts w:ascii="Calibri Light" w:eastAsia="Times New Roman" w:hAnsi="Calibri Light" w:cs="Times New Roman"/>
        <w:i/>
        <w:iCs/>
        <w:sz w:val="26"/>
      </w:rPr>
      <w:tblPr/>
      <w:tcPr>
        <w:tcBorders>
          <w:top w:val="single" w:sz="4" w:space="0" w:color="70AD47"/>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0AD47"/>
        </w:tcBorders>
        <w:shd w:val="clear" w:color="auto" w:fill="FFFFFF"/>
      </w:tcPr>
    </w:tblStylePr>
    <w:tblStylePr w:type="lastCol">
      <w:rPr>
        <w:rFonts w:ascii="Calibri Light" w:eastAsia="Times New Roman" w:hAnsi="Calibri Light" w:cs="Times New Roman"/>
        <w:i/>
        <w:iCs/>
        <w:sz w:val="26"/>
      </w:rPr>
      <w:tblPr/>
      <w:tcPr>
        <w:tcBorders>
          <w:left w:val="single" w:sz="4" w:space="0" w:color="70AD47"/>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2">
    <w:name w:val="Plain Table 12"/>
    <w:basedOn w:val="TableNormal"/>
    <w:next w:val="PlainTable1"/>
    <w:uiPriority w:val="41"/>
    <w:rsid w:val="00030303"/>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2">
    <w:name w:val="Plain Table 22"/>
    <w:basedOn w:val="TableNormal"/>
    <w:next w:val="PlainTable2"/>
    <w:uiPriority w:val="42"/>
    <w:rsid w:val="00030303"/>
    <w:pPr>
      <w:spacing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32">
    <w:name w:val="Plain Table 32"/>
    <w:basedOn w:val="TableNormal"/>
    <w:next w:val="PlainTable3"/>
    <w:uiPriority w:val="43"/>
    <w:rsid w:val="00030303"/>
    <w:pPr>
      <w:spacing w:after="0" w:line="240" w:lineRule="auto"/>
    </w:p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2">
    <w:name w:val="Plain Table 42"/>
    <w:basedOn w:val="TableNormal"/>
    <w:next w:val="PlainTable4"/>
    <w:uiPriority w:val="44"/>
    <w:rsid w:val="0003030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2">
    <w:name w:val="Plain Table 52"/>
    <w:basedOn w:val="TableNormal"/>
    <w:next w:val="PlainTable5"/>
    <w:uiPriority w:val="45"/>
    <w:rsid w:val="00030303"/>
    <w:pPr>
      <w:spacing w:after="0" w:line="240" w:lineRule="auto"/>
    </w:p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2">
    <w:name w:val="Table Grid Light2"/>
    <w:basedOn w:val="TableNormal"/>
    <w:next w:val="TableGridLight"/>
    <w:uiPriority w:val="40"/>
    <w:rsid w:val="00030303"/>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Hyperlink">
    <w:name w:val="Hyperlink"/>
    <w:basedOn w:val="DefaultParagraphFont"/>
    <w:uiPriority w:val="99"/>
    <w:semiHidden/>
    <w:unhideWhenUsed/>
    <w:rsid w:val="00030303"/>
    <w:rPr>
      <w:color w:val="0563C1" w:themeColor="hyperlink"/>
      <w:u w:val="single"/>
    </w:rPr>
  </w:style>
  <w:style w:type="table" w:styleId="ColorfulGrid">
    <w:name w:val="Colorful Grid"/>
    <w:basedOn w:val="TableNormal"/>
    <w:uiPriority w:val="73"/>
    <w:semiHidden/>
    <w:unhideWhenUsed/>
    <w:rsid w:val="0003030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3030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rfulGrid-Accent2">
    <w:name w:val="Colorful Grid Accent 2"/>
    <w:basedOn w:val="TableNormal"/>
    <w:uiPriority w:val="73"/>
    <w:semiHidden/>
    <w:unhideWhenUsed/>
    <w:rsid w:val="0003030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03030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03030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03030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73"/>
    <w:semiHidden/>
    <w:unhideWhenUsed/>
    <w:rsid w:val="0003030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030303"/>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30303"/>
    <w:pPr>
      <w:spacing w:after="0"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rfulList-Accent2">
    <w:name w:val="Colorful List Accent 2"/>
    <w:basedOn w:val="TableNormal"/>
    <w:uiPriority w:val="72"/>
    <w:semiHidden/>
    <w:unhideWhenUsed/>
    <w:rsid w:val="00030303"/>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030303"/>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030303"/>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030303"/>
    <w:pPr>
      <w:spacing w:after="0" w:line="240" w:lineRule="auto"/>
    </w:pPr>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72"/>
    <w:semiHidden/>
    <w:unhideWhenUsed/>
    <w:rsid w:val="00030303"/>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030303"/>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30303"/>
    <w:pPr>
      <w:spacing w:after="0" w:line="240" w:lineRule="auto"/>
    </w:pPr>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30303"/>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30303"/>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030303"/>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30303"/>
    <w:pPr>
      <w:spacing w:after="0" w:line="240" w:lineRule="auto"/>
    </w:pPr>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030303"/>
    <w:pPr>
      <w:spacing w:after="0" w:line="240" w:lineRule="auto"/>
    </w:pPr>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030303"/>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30303"/>
    <w:pPr>
      <w:spacing w:after="0" w:line="240" w:lineRule="auto"/>
    </w:pPr>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uiPriority w:val="70"/>
    <w:semiHidden/>
    <w:unhideWhenUsed/>
    <w:rsid w:val="00030303"/>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030303"/>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030303"/>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030303"/>
    <w:pPr>
      <w:spacing w:after="0" w:line="240" w:lineRule="auto"/>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70"/>
    <w:semiHidden/>
    <w:unhideWhenUsed/>
    <w:rsid w:val="00030303"/>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EnvelopeAddress">
    <w:name w:val="envelope address"/>
    <w:basedOn w:val="Normal"/>
    <w:uiPriority w:val="99"/>
    <w:semiHidden/>
    <w:unhideWhenUsed/>
    <w:rsid w:val="00030303"/>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30303"/>
    <w:pPr>
      <w:spacing w:after="0" w:line="240" w:lineRule="auto"/>
    </w:pPr>
    <w:rPr>
      <w:rFonts w:asciiTheme="majorHAnsi" w:eastAsiaTheme="majorEastAsia" w:hAnsiTheme="majorHAnsi" w:cstheme="majorBidi"/>
      <w:sz w:val="20"/>
      <w:szCs w:val="20"/>
    </w:rPr>
  </w:style>
  <w:style w:type="table" w:styleId="LightGrid">
    <w:name w:val="Light Grid"/>
    <w:basedOn w:val="TableNormal"/>
    <w:uiPriority w:val="62"/>
    <w:semiHidden/>
    <w:unhideWhenUsed/>
    <w:rsid w:val="0003030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30303"/>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2">
    <w:name w:val="Light Grid Accent 2"/>
    <w:basedOn w:val="TableNormal"/>
    <w:uiPriority w:val="62"/>
    <w:semiHidden/>
    <w:unhideWhenUsed/>
    <w:rsid w:val="00030303"/>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030303"/>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030303"/>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030303"/>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62"/>
    <w:semiHidden/>
    <w:unhideWhenUsed/>
    <w:rsid w:val="00030303"/>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03030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30303"/>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2">
    <w:name w:val="Light List Accent 2"/>
    <w:basedOn w:val="TableNormal"/>
    <w:uiPriority w:val="61"/>
    <w:semiHidden/>
    <w:unhideWhenUsed/>
    <w:rsid w:val="00030303"/>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030303"/>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030303"/>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030303"/>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61"/>
    <w:semiHidden/>
    <w:unhideWhenUsed/>
    <w:rsid w:val="00030303"/>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03030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30303"/>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60"/>
    <w:semiHidden/>
    <w:unhideWhenUsed/>
    <w:rsid w:val="00030303"/>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030303"/>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030303"/>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030303"/>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60"/>
    <w:semiHidden/>
    <w:unhideWhenUsed/>
    <w:rsid w:val="00030303"/>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MediumGrid1">
    <w:name w:val="Medium Grid 1"/>
    <w:basedOn w:val="TableNormal"/>
    <w:uiPriority w:val="67"/>
    <w:semiHidden/>
    <w:unhideWhenUsed/>
    <w:rsid w:val="0003030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30303"/>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1-Accent2">
    <w:name w:val="Medium Grid 1 Accent 2"/>
    <w:basedOn w:val="TableNormal"/>
    <w:uiPriority w:val="67"/>
    <w:semiHidden/>
    <w:unhideWhenUsed/>
    <w:rsid w:val="00030303"/>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030303"/>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030303"/>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030303"/>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67"/>
    <w:semiHidden/>
    <w:unhideWhenUsed/>
    <w:rsid w:val="00030303"/>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03030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3030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3030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3030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3030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3030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3030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3030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3030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rid3-Accent2">
    <w:name w:val="Medium Grid 3 Accent 2"/>
    <w:basedOn w:val="TableNormal"/>
    <w:uiPriority w:val="69"/>
    <w:semiHidden/>
    <w:unhideWhenUsed/>
    <w:rsid w:val="0003030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03030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03030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03030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iPriority w:val="69"/>
    <w:semiHidden/>
    <w:unhideWhenUsed/>
    <w:rsid w:val="0003030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030303"/>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30303"/>
    <w:pPr>
      <w:spacing w:after="0"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1-Accent2">
    <w:name w:val="Medium List 1 Accent 2"/>
    <w:basedOn w:val="TableNormal"/>
    <w:uiPriority w:val="65"/>
    <w:semiHidden/>
    <w:unhideWhenUsed/>
    <w:rsid w:val="00030303"/>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030303"/>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030303"/>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030303"/>
    <w:pPr>
      <w:spacing w:after="0" w:line="240" w:lineRule="auto"/>
    </w:pPr>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65"/>
    <w:semiHidden/>
    <w:unhideWhenUsed/>
    <w:rsid w:val="00030303"/>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03030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3030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3030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3030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3030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3030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3030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3030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30303"/>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30303"/>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30303"/>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30303"/>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30303"/>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30303"/>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3030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03030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3030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3030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3030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3030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3030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1"/>
    <w:uiPriority w:val="99"/>
    <w:semiHidden/>
    <w:unhideWhenUsed/>
    <w:rsid w:val="0003030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1">
    <w:name w:val="Message Header Char1"/>
    <w:basedOn w:val="DefaultParagraphFont"/>
    <w:link w:val="MessageHeader"/>
    <w:uiPriority w:val="99"/>
    <w:semiHidden/>
    <w:rsid w:val="00030303"/>
    <w:rPr>
      <w:rFonts w:asciiTheme="majorHAnsi" w:eastAsiaTheme="majorEastAsia" w:hAnsiTheme="majorHAnsi" w:cstheme="majorBidi"/>
      <w:w w:val="105"/>
      <w:kern w:val="40"/>
      <w:sz w:val="24"/>
      <w:szCs w:val="24"/>
      <w:shd w:val="pct20" w:color="auto" w:fill="auto"/>
    </w:rPr>
  </w:style>
  <w:style w:type="table" w:styleId="GridTable1Light">
    <w:name w:val="Grid Table 1 Light"/>
    <w:basedOn w:val="TableNormal"/>
    <w:uiPriority w:val="46"/>
    <w:rsid w:val="0003030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30303"/>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30303"/>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30303"/>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30303"/>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30303"/>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30303"/>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30303"/>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30303"/>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2">
    <w:name w:val="Grid Table 2 Accent 2"/>
    <w:basedOn w:val="TableNormal"/>
    <w:uiPriority w:val="47"/>
    <w:rsid w:val="00030303"/>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030303"/>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030303"/>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030303"/>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6">
    <w:name w:val="Grid Table 2 Accent 6"/>
    <w:basedOn w:val="TableNormal"/>
    <w:uiPriority w:val="47"/>
    <w:rsid w:val="00030303"/>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03030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30303"/>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3-Accent2">
    <w:name w:val="Grid Table 3 Accent 2"/>
    <w:basedOn w:val="TableNormal"/>
    <w:uiPriority w:val="48"/>
    <w:rsid w:val="00030303"/>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030303"/>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030303"/>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030303"/>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3-Accent6">
    <w:name w:val="Grid Table 3 Accent 6"/>
    <w:basedOn w:val="TableNormal"/>
    <w:uiPriority w:val="48"/>
    <w:rsid w:val="00030303"/>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03030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30303"/>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2">
    <w:name w:val="Grid Table 4 Accent 2"/>
    <w:basedOn w:val="TableNormal"/>
    <w:uiPriority w:val="49"/>
    <w:rsid w:val="00030303"/>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030303"/>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030303"/>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030303"/>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6">
    <w:name w:val="Grid Table 4 Accent 6"/>
    <w:basedOn w:val="TableNormal"/>
    <w:uiPriority w:val="49"/>
    <w:rsid w:val="00030303"/>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03030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3030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Accent2">
    <w:name w:val="Grid Table 5 Dark Accent 2"/>
    <w:basedOn w:val="TableNormal"/>
    <w:uiPriority w:val="50"/>
    <w:rsid w:val="0003030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03030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03030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03030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5Dark-Accent6">
    <w:name w:val="Grid Table 5 Dark Accent 6"/>
    <w:basedOn w:val="TableNormal"/>
    <w:uiPriority w:val="50"/>
    <w:rsid w:val="0003030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03030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30303"/>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6Colorful-Accent2">
    <w:name w:val="Grid Table 6 Colorful Accent 2"/>
    <w:basedOn w:val="TableNormal"/>
    <w:uiPriority w:val="51"/>
    <w:rsid w:val="00030303"/>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030303"/>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030303"/>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030303"/>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6Colorful-Accent6">
    <w:name w:val="Grid Table 6 Colorful Accent 6"/>
    <w:basedOn w:val="TableNormal"/>
    <w:uiPriority w:val="51"/>
    <w:rsid w:val="00030303"/>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03030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30303"/>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7Colorful-Accent2">
    <w:name w:val="Grid Table 7 Colorful Accent 2"/>
    <w:basedOn w:val="TableNormal"/>
    <w:uiPriority w:val="52"/>
    <w:rsid w:val="00030303"/>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030303"/>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030303"/>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030303"/>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7Colorful-Accent6">
    <w:name w:val="Grid Table 7 Colorful Accent 6"/>
    <w:basedOn w:val="TableNormal"/>
    <w:uiPriority w:val="52"/>
    <w:rsid w:val="00030303"/>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ListTable1Light">
    <w:name w:val="List Table 1 Light"/>
    <w:basedOn w:val="TableNormal"/>
    <w:uiPriority w:val="46"/>
    <w:rsid w:val="00030303"/>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30303"/>
    <w:pPr>
      <w:spacing w:after="0"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1Light-Accent2">
    <w:name w:val="List Table 1 Light Accent 2"/>
    <w:basedOn w:val="TableNormal"/>
    <w:uiPriority w:val="46"/>
    <w:rsid w:val="00030303"/>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030303"/>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030303"/>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030303"/>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1Light-Accent6">
    <w:name w:val="List Table 1 Light Accent 6"/>
    <w:basedOn w:val="TableNormal"/>
    <w:uiPriority w:val="46"/>
    <w:rsid w:val="00030303"/>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030303"/>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30303"/>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2-Accent2">
    <w:name w:val="List Table 2 Accent 2"/>
    <w:basedOn w:val="TableNormal"/>
    <w:uiPriority w:val="47"/>
    <w:rsid w:val="00030303"/>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030303"/>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030303"/>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030303"/>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2-Accent6">
    <w:name w:val="List Table 2 Accent 6"/>
    <w:basedOn w:val="TableNormal"/>
    <w:uiPriority w:val="47"/>
    <w:rsid w:val="00030303"/>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030303"/>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30303"/>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3-Accent2">
    <w:name w:val="List Table 3 Accent 2"/>
    <w:basedOn w:val="TableNormal"/>
    <w:uiPriority w:val="48"/>
    <w:rsid w:val="00030303"/>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030303"/>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030303"/>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030303"/>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6">
    <w:name w:val="List Table 3 Accent 6"/>
    <w:basedOn w:val="TableNormal"/>
    <w:uiPriority w:val="48"/>
    <w:rsid w:val="00030303"/>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03030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30303"/>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4-Accent2">
    <w:name w:val="List Table 4 Accent 2"/>
    <w:basedOn w:val="TableNormal"/>
    <w:uiPriority w:val="49"/>
    <w:rsid w:val="00030303"/>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030303"/>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030303"/>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030303"/>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4-Accent6">
    <w:name w:val="List Table 4 Accent 6"/>
    <w:basedOn w:val="TableNormal"/>
    <w:uiPriority w:val="49"/>
    <w:rsid w:val="00030303"/>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030303"/>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30303"/>
    <w:pPr>
      <w:spacing w:after="0" w:line="240" w:lineRule="auto"/>
    </w:pPr>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30303"/>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30303"/>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30303"/>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30303"/>
    <w:pPr>
      <w:spacing w:after="0" w:line="240" w:lineRule="auto"/>
    </w:pPr>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30303"/>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3030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30303"/>
    <w:pPr>
      <w:spacing w:after="0" w:line="240" w:lineRule="auto"/>
    </w:pPr>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6Colorful-Accent2">
    <w:name w:val="List Table 6 Colorful Accent 2"/>
    <w:basedOn w:val="TableNormal"/>
    <w:uiPriority w:val="51"/>
    <w:rsid w:val="00030303"/>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030303"/>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030303"/>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030303"/>
    <w:pPr>
      <w:spacing w:after="0" w:line="240" w:lineRule="auto"/>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6Colorful-Accent6">
    <w:name w:val="List Table 6 Colorful Accent 6"/>
    <w:basedOn w:val="TableNormal"/>
    <w:uiPriority w:val="51"/>
    <w:rsid w:val="00030303"/>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030303"/>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30303"/>
    <w:pPr>
      <w:spacing w:after="0"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30303"/>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30303"/>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30303"/>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30303"/>
    <w:pPr>
      <w:spacing w:after="0" w:line="240" w:lineRule="auto"/>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30303"/>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rsid w:val="0003030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3030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3030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3030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3030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03030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030303"/>
    <w:rPr>
      <w:color w:val="954F72" w:themeColor="followedHyperlink"/>
      <w:u w:val="single"/>
    </w:rPr>
  </w:style>
  <w:style w:type="character" w:styleId="IntenseEmphasis">
    <w:name w:val="Intense Emphasis"/>
    <w:basedOn w:val="DefaultParagraphFont"/>
    <w:uiPriority w:val="21"/>
    <w:qFormat/>
    <w:rsid w:val="00030303"/>
    <w:rPr>
      <w:i/>
      <w:iCs/>
      <w:color w:val="4472C4" w:themeColor="accent1"/>
    </w:rPr>
  </w:style>
  <w:style w:type="character" w:styleId="IntenseReference">
    <w:name w:val="Intense Reference"/>
    <w:basedOn w:val="DefaultParagraphFont"/>
    <w:uiPriority w:val="32"/>
    <w:qFormat/>
    <w:rsid w:val="00030303"/>
    <w:rPr>
      <w:b/>
      <w:bCs/>
      <w:smallCaps/>
      <w:color w:val="4472C4" w:themeColor="accent1"/>
      <w:spacing w:val="5"/>
    </w:rPr>
  </w:style>
  <w:style w:type="character" w:styleId="SubtleEmphasis">
    <w:name w:val="Subtle Emphasis"/>
    <w:basedOn w:val="DefaultParagraphFont"/>
    <w:uiPriority w:val="19"/>
    <w:qFormat/>
    <w:rsid w:val="00030303"/>
    <w:rPr>
      <w:i/>
      <w:iCs/>
      <w:color w:val="404040" w:themeColor="text1" w:themeTint="BF"/>
    </w:rPr>
  </w:style>
  <w:style w:type="character" w:styleId="SubtleReference">
    <w:name w:val="Subtle Reference"/>
    <w:basedOn w:val="DefaultParagraphFont"/>
    <w:uiPriority w:val="31"/>
    <w:qFormat/>
    <w:rsid w:val="00030303"/>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g.gov.au/agd/WWW/Centenaryhome.nsf/Page/Morling_Report" TargetMode="External"/><Relationship Id="rId13" Type="http://schemas.openxmlformats.org/officeDocument/2006/relationships/hyperlink" Target="https://www.royalcommission.gov.au/royal-commission-trade-union-governance-and-corruption" TargetMode="External"/><Relationship Id="rId18" Type="http://schemas.openxmlformats.org/officeDocument/2006/relationships/hyperlink" Target="https://naturaldisaster.royalcommission.gov.a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hyperlink" Target="https://webarchive.nla.gov.au/awa/20141215005835/http:/www.homeinsulationroyalcommission.gov.au/Pages/default.aspx" TargetMode="External"/><Relationship Id="rId17" Type="http://schemas.openxmlformats.org/officeDocument/2006/relationships/hyperlink" Target="https://www.ag.gov.au/DisabilityRoyalCommission" TargetMode="External"/><Relationship Id="rId2" Type="http://schemas.openxmlformats.org/officeDocument/2006/relationships/styles" Target="styles.xml"/><Relationship Id="rId16" Type="http://schemas.openxmlformats.org/officeDocument/2006/relationships/hyperlink" Target="https://agedcare.royalcommission.gov.au/Pages/default.aspx"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ildabuseroyalcommission.gov.au/" TargetMode="External"/><Relationship Id="rId5" Type="http://schemas.openxmlformats.org/officeDocument/2006/relationships/footnotes" Target="footnotes.xml"/><Relationship Id="rId15" Type="http://schemas.openxmlformats.org/officeDocument/2006/relationships/hyperlink" Target="https://webarchive.nla.gov.au/awa/20200605053315/https:/financialservices.royalcommission.gov.au/Pages/default.aspx" TargetMode="External"/><Relationship Id="rId10" Type="http://schemas.openxmlformats.org/officeDocument/2006/relationships/hyperlink" Target="http://parlinfo.aph.gov.au/parlInfo/search/display/display.w3p;query=Id%3A%22library%2Flcatalog%2F00147975%22" TargetMode="External"/><Relationship Id="rId19" Type="http://schemas.openxmlformats.org/officeDocument/2006/relationships/hyperlink" Target="https://defenceveteransuicide.royalcommission.gov.au/" TargetMode="External"/><Relationship Id="rId4" Type="http://schemas.openxmlformats.org/officeDocument/2006/relationships/webSettings" Target="webSettings.xml"/><Relationship Id="rId9" Type="http://schemas.openxmlformats.org/officeDocument/2006/relationships/hyperlink" Target="http://webarchive.nla.gov.au/gov/20150227210237/http:/www.oilforfoodinquiry.gov.au/" TargetMode="External"/><Relationship Id="rId14" Type="http://schemas.openxmlformats.org/officeDocument/2006/relationships/hyperlink" Target="https://www.royalcommission.gov.au/royal-commission-detention-and-protection-children-northern-territor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132</Pages>
  <Words>27889</Words>
  <Characters>158969</Characters>
  <Application>Microsoft Office Word</Application>
  <DocSecurity>0</DocSecurity>
  <Lines>1324</Lines>
  <Paragraphs>372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2022-04-06T01:05:00Z</dcterms:created>
  <dcterms:modified xsi:type="dcterms:W3CDTF">2022-04-06T01:05:00Z</dcterms:modified>
</cp:coreProperties>
</file>